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F3B9B" w:rsidRPr="006E026B" w:rsidRDefault="000F3B9B" w:rsidP="000F3B9B">
      <w:pPr>
        <w:spacing w:after="0" w:line="360" w:lineRule="auto"/>
        <w:jc w:val="center"/>
        <w:rPr>
          <w:rFonts w:ascii="Arial" w:hAnsi="Arial" w:cs="Arial"/>
          <w:b/>
          <w:sz w:val="24"/>
          <w:szCs w:val="24"/>
        </w:rPr>
      </w:pPr>
      <w:r>
        <w:rPr>
          <w:rFonts w:ascii="Arial" w:hAnsi="Arial" w:cs="Arial"/>
          <w:b/>
          <w:noProof/>
          <w:sz w:val="24"/>
          <w:szCs w:val="24"/>
          <w:lang w:val="en-ZA" w:eastAsia="en-ZA"/>
        </w:rPr>
        <mc:AlternateContent>
          <mc:Choice Requires="wps">
            <w:drawing>
              <wp:anchor distT="0" distB="0" distL="114300" distR="114300" simplePos="0" relativeHeight="251659264" behindDoc="0" locked="0" layoutInCell="1" allowOverlap="1" wp14:anchorId="63321E4C" wp14:editId="14C1251A">
                <wp:simplePos x="0" y="0"/>
                <wp:positionH relativeFrom="column">
                  <wp:posOffset>4315968</wp:posOffset>
                </wp:positionH>
                <wp:positionV relativeFrom="paragraph">
                  <wp:posOffset>-60808</wp:posOffset>
                </wp:positionV>
                <wp:extent cx="1796186" cy="247650"/>
                <wp:effectExtent l="0" t="0" r="139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186" cy="247650"/>
                        </a:xfrm>
                        <a:prstGeom prst="rect">
                          <a:avLst/>
                        </a:prstGeom>
                        <a:solidFill>
                          <a:srgbClr val="FFFFFF"/>
                        </a:solidFill>
                        <a:ln w="9525">
                          <a:solidFill>
                            <a:srgbClr val="FFFFFF"/>
                          </a:solidFill>
                          <a:miter lim="800000"/>
                          <a:headEnd/>
                          <a:tailEnd/>
                        </a:ln>
                      </wps:spPr>
                      <wps:txbx>
                        <w:txbxContent>
                          <w:p w:rsidR="00DA0C63" w:rsidRDefault="00DA0C63" w:rsidP="000F3B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21E4C" id="_x0000_t202" coordsize="21600,21600" o:spt="202" path="m,l,21600r21600,l21600,xe">
                <v:stroke joinstyle="miter"/>
                <v:path gradientshapeok="t" o:connecttype="rect"/>
              </v:shapetype>
              <v:shape id="Text Box 2" o:spid="_x0000_s1026" type="#_x0000_t202" style="position:absolute;left:0;text-align:left;margin-left:339.85pt;margin-top:-4.8pt;width:141.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" strokecolor="white">
                <v:textbox>
                  <w:txbxContent>
                    <w:p w:rsidR="00DA0C63" w:rsidRDefault="00DA0C63" w:rsidP="000F3B9B">
                      <w:pPr>
                        <w:jc w:val="center"/>
                      </w:pPr>
                    </w:p>
                  </w:txbxContent>
                </v:textbox>
              </v:shape>
            </w:pict>
          </mc:Fallback>
        </mc:AlternateContent>
      </w:r>
      <w:r w:rsidRPr="006E026B">
        <w:rPr>
          <w:rFonts w:ascii="Arial" w:hAnsi="Arial" w:cs="Arial"/>
          <w:b/>
          <w:sz w:val="24"/>
          <w:szCs w:val="24"/>
        </w:rPr>
        <w:t>REPUBLIC OF NAMIBIA</w:t>
      </w:r>
    </w:p>
    <w:p w:rsidR="000F3B9B" w:rsidRDefault="000F3B9B" w:rsidP="000F3B9B">
      <w:pPr>
        <w:spacing w:after="0" w:line="360" w:lineRule="auto"/>
        <w:jc w:val="center"/>
        <w:rPr>
          <w:b/>
          <w:sz w:val="32"/>
          <w:szCs w:val="32"/>
        </w:rPr>
      </w:pPr>
      <w:r>
        <w:rPr>
          <w:b/>
          <w:noProof/>
          <w:sz w:val="32"/>
          <w:szCs w:val="32"/>
          <w:lang w:val="en-ZA" w:eastAsia="en-ZA"/>
        </w:rPr>
        <w:drawing>
          <wp:inline distT="0" distB="0" distL="0" distR="0" wp14:anchorId="647F62C2" wp14:editId="05FCA950">
            <wp:extent cx="1272540" cy="1331595"/>
            <wp:effectExtent l="19050" t="0" r="3810" b="0"/>
            <wp:docPr id="5" name="Picture 2" descr="Coat of Ar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bmp"/>
                    <pic:cNvPicPr>
                      <a:picLocks noChangeAspect="1" noChangeArrowheads="1"/>
                    </pic:cNvPicPr>
                  </pic:nvPicPr>
                  <pic:blipFill>
                    <a:blip r:embed="rId11" cstate="print"/>
                    <a:srcRect/>
                    <a:stretch>
                      <a:fillRect/>
                    </a:stretch>
                  </pic:blipFill>
                  <pic:spPr bwMode="auto">
                    <a:xfrm>
                      <a:off x="0" y="0"/>
                      <a:ext cx="1272540" cy="1331595"/>
                    </a:xfrm>
                    <a:prstGeom prst="rect">
                      <a:avLst/>
                    </a:prstGeom>
                    <a:noFill/>
                    <a:ln w="9525">
                      <a:noFill/>
                      <a:miter lim="800000"/>
                      <a:headEnd/>
                      <a:tailEnd/>
                    </a:ln>
                  </pic:spPr>
                </pic:pic>
              </a:graphicData>
            </a:graphic>
          </wp:inline>
        </w:drawing>
      </w:r>
    </w:p>
    <w:p w:rsidR="000F3B9B" w:rsidRPr="006E026B" w:rsidRDefault="000F3B9B" w:rsidP="000F3B9B">
      <w:pPr>
        <w:spacing w:after="0" w:line="360" w:lineRule="auto"/>
        <w:jc w:val="center"/>
        <w:rPr>
          <w:rFonts w:ascii="Arial" w:hAnsi="Arial" w:cs="Arial"/>
          <w:bCs/>
          <w:sz w:val="24"/>
          <w:szCs w:val="24"/>
        </w:rPr>
      </w:pPr>
      <w:r w:rsidRPr="006E026B">
        <w:rPr>
          <w:rFonts w:ascii="Arial" w:hAnsi="Arial" w:cs="Arial"/>
          <w:b/>
          <w:sz w:val="24"/>
          <w:szCs w:val="24"/>
        </w:rPr>
        <w:t>HIGH COURT OF NAMIBIA MAIN DIVISION, WINDHOEK</w:t>
      </w:r>
    </w:p>
    <w:p w:rsidR="000F3B9B" w:rsidRPr="00B57D51" w:rsidRDefault="000F3B9B" w:rsidP="000F3B9B">
      <w:pPr>
        <w:spacing w:after="0" w:line="360" w:lineRule="auto"/>
        <w:jc w:val="center"/>
        <w:rPr>
          <w:rFonts w:ascii="Arial" w:hAnsi="Arial" w:cs="Arial"/>
          <w:b/>
          <w:sz w:val="10"/>
          <w:szCs w:val="10"/>
        </w:rPr>
      </w:pPr>
    </w:p>
    <w:p w:rsidR="000F3B9B" w:rsidRDefault="00EF5B25" w:rsidP="000F3B9B">
      <w:pPr>
        <w:spacing w:after="0" w:line="360" w:lineRule="auto"/>
        <w:jc w:val="center"/>
        <w:rPr>
          <w:rFonts w:ascii="Arial" w:hAnsi="Arial" w:cs="Arial"/>
          <w:b/>
          <w:sz w:val="24"/>
          <w:szCs w:val="24"/>
        </w:rPr>
      </w:pPr>
      <w:r>
        <w:rPr>
          <w:rFonts w:ascii="Arial" w:hAnsi="Arial" w:cs="Arial"/>
          <w:b/>
          <w:sz w:val="24"/>
          <w:szCs w:val="24"/>
        </w:rPr>
        <w:t>RULING ON RULE 61 APPLICATION</w:t>
      </w:r>
    </w:p>
    <w:p w:rsidR="000F3B9B" w:rsidRDefault="000F3B9B" w:rsidP="000F3B9B">
      <w:pPr>
        <w:spacing w:after="0" w:line="360" w:lineRule="auto"/>
        <w:jc w:val="both"/>
        <w:rPr>
          <w:rFonts w:ascii="Arial" w:hAnsi="Arial" w:cs="Arial"/>
          <w:b/>
          <w:sz w:val="24"/>
          <w:szCs w:val="24"/>
        </w:rPr>
      </w:pPr>
    </w:p>
    <w:p w:rsidR="000F3B9B" w:rsidRPr="001B7E1F" w:rsidRDefault="000F3B9B" w:rsidP="000F3B9B">
      <w:pPr>
        <w:tabs>
          <w:tab w:val="right" w:pos="9000"/>
        </w:tabs>
        <w:spacing w:after="0" w:line="360" w:lineRule="auto"/>
        <w:jc w:val="center"/>
        <w:rPr>
          <w:rFonts w:ascii="Arial" w:hAnsi="Arial" w:cs="Arial"/>
          <w:b/>
          <w:sz w:val="24"/>
          <w:szCs w:val="24"/>
        </w:rPr>
      </w:pPr>
      <w:r>
        <w:rPr>
          <w:rFonts w:ascii="Arial" w:hAnsi="Arial" w:cs="Arial"/>
          <w:b/>
          <w:sz w:val="24"/>
          <w:szCs w:val="24"/>
        </w:rPr>
        <w:tab/>
      </w:r>
      <w:r w:rsidR="00F44353">
        <w:rPr>
          <w:rFonts w:ascii="Arial" w:hAnsi="Arial" w:cs="Arial"/>
          <w:sz w:val="24"/>
          <w:szCs w:val="24"/>
        </w:rPr>
        <w:t>CASE NO</w:t>
      </w:r>
      <w:r>
        <w:rPr>
          <w:rFonts w:ascii="Arial" w:hAnsi="Arial" w:cs="Arial"/>
          <w:sz w:val="24"/>
          <w:szCs w:val="24"/>
        </w:rPr>
        <w:t>: HC-MD-CIV-</w:t>
      </w:r>
      <w:r w:rsidR="000F3F79">
        <w:rPr>
          <w:rFonts w:ascii="Arial" w:hAnsi="Arial" w:cs="Arial"/>
          <w:sz w:val="24"/>
          <w:szCs w:val="24"/>
        </w:rPr>
        <w:t>MOT-POCA-2018/00140</w:t>
      </w:r>
      <w:r w:rsidRPr="006E026B">
        <w:rPr>
          <w:rFonts w:ascii="Arial" w:hAnsi="Arial" w:cs="Arial"/>
          <w:sz w:val="24"/>
          <w:szCs w:val="24"/>
        </w:rPr>
        <w:t xml:space="preserve"> </w:t>
      </w:r>
    </w:p>
    <w:p w:rsidR="000F3B9B" w:rsidRPr="006E026B" w:rsidRDefault="000F3B9B" w:rsidP="000F3B9B">
      <w:pPr>
        <w:spacing w:after="0" w:line="360" w:lineRule="auto"/>
        <w:rPr>
          <w:rFonts w:ascii="Arial" w:hAnsi="Arial" w:cs="Arial"/>
          <w:sz w:val="24"/>
          <w:szCs w:val="24"/>
        </w:rPr>
      </w:pPr>
    </w:p>
    <w:p w:rsidR="000F3B9B" w:rsidRPr="006E026B" w:rsidRDefault="000F3B9B" w:rsidP="000F3B9B">
      <w:pPr>
        <w:spacing w:after="0" w:line="360" w:lineRule="auto"/>
        <w:rPr>
          <w:rFonts w:ascii="Arial" w:hAnsi="Arial" w:cs="Arial"/>
          <w:sz w:val="24"/>
          <w:szCs w:val="24"/>
        </w:rPr>
      </w:pPr>
      <w:r w:rsidRPr="006E026B">
        <w:rPr>
          <w:rFonts w:ascii="Arial" w:hAnsi="Arial" w:cs="Arial"/>
          <w:sz w:val="24"/>
          <w:szCs w:val="24"/>
        </w:rPr>
        <w:t>In the matter between:</w:t>
      </w:r>
    </w:p>
    <w:p w:rsidR="000F3B9B" w:rsidRPr="006E026B" w:rsidRDefault="000F3B9B" w:rsidP="000F3B9B">
      <w:pPr>
        <w:spacing w:after="0" w:line="360" w:lineRule="auto"/>
        <w:rPr>
          <w:rFonts w:ascii="Arial" w:hAnsi="Arial" w:cs="Arial"/>
          <w:sz w:val="24"/>
          <w:szCs w:val="24"/>
        </w:rPr>
      </w:pPr>
    </w:p>
    <w:p w:rsidR="000F3F79" w:rsidRDefault="000F3F79" w:rsidP="000F3F79">
      <w:pPr>
        <w:pStyle w:val="Heading4"/>
        <w:tabs>
          <w:tab w:val="right" w:pos="9000"/>
        </w:tabs>
        <w:spacing w:before="240" w:after="240" w:line="360" w:lineRule="auto"/>
        <w:jc w:val="both"/>
        <w:rPr>
          <w:rFonts w:cs="Arial"/>
          <w:b/>
          <w:sz w:val="24"/>
        </w:rPr>
      </w:pPr>
      <w:r>
        <w:rPr>
          <w:rFonts w:cs="Arial"/>
          <w:b/>
          <w:sz w:val="24"/>
        </w:rPr>
        <w:t>MARTIN NANDE SHILENGUDWA                                              FIRST APPLICANT</w:t>
      </w:r>
    </w:p>
    <w:p w:rsidR="000F3F79" w:rsidRPr="000F3F79" w:rsidRDefault="000F3F79" w:rsidP="000F3F79">
      <w:pPr>
        <w:rPr>
          <w:rFonts w:ascii="Arial" w:hAnsi="Arial" w:cs="Arial"/>
          <w:b/>
          <w:sz w:val="24"/>
          <w:szCs w:val="24"/>
          <w:lang w:val="en-GB"/>
        </w:rPr>
      </w:pPr>
      <w:r>
        <w:rPr>
          <w:rFonts w:ascii="Arial" w:hAnsi="Arial" w:cs="Arial"/>
          <w:b/>
          <w:sz w:val="24"/>
          <w:szCs w:val="24"/>
          <w:lang w:val="en-GB"/>
        </w:rPr>
        <w:t>HILMA DALONDOKA SHILENGUDWA                                  SECOND APPLICANT</w:t>
      </w:r>
    </w:p>
    <w:p w:rsidR="000F3B9B" w:rsidRPr="00647CFE" w:rsidRDefault="000F3B9B" w:rsidP="000F3B9B">
      <w:pPr>
        <w:spacing w:after="0" w:line="360" w:lineRule="auto"/>
        <w:jc w:val="both"/>
        <w:rPr>
          <w:rFonts w:ascii="Arial" w:hAnsi="Arial" w:cs="Arial"/>
          <w:sz w:val="16"/>
          <w:szCs w:val="16"/>
        </w:rPr>
      </w:pPr>
    </w:p>
    <w:p w:rsidR="000F3B9B" w:rsidRDefault="000F3B9B" w:rsidP="000F3B9B">
      <w:pPr>
        <w:spacing w:after="0" w:line="360" w:lineRule="auto"/>
        <w:jc w:val="both"/>
        <w:rPr>
          <w:rFonts w:ascii="Arial" w:hAnsi="Arial" w:cs="Arial"/>
          <w:sz w:val="24"/>
          <w:szCs w:val="24"/>
        </w:rPr>
      </w:pPr>
      <w:r>
        <w:rPr>
          <w:rFonts w:ascii="Arial" w:hAnsi="Arial" w:cs="Arial"/>
          <w:sz w:val="24"/>
          <w:szCs w:val="24"/>
        </w:rPr>
        <w:t>a</w:t>
      </w:r>
      <w:r w:rsidRPr="006E026B">
        <w:rPr>
          <w:rFonts w:ascii="Arial" w:hAnsi="Arial" w:cs="Arial"/>
          <w:sz w:val="24"/>
          <w:szCs w:val="24"/>
        </w:rPr>
        <w:t>nd</w:t>
      </w:r>
    </w:p>
    <w:p w:rsidR="000F3B9B" w:rsidRPr="00647CFE" w:rsidRDefault="000F3B9B" w:rsidP="000F3B9B">
      <w:pPr>
        <w:spacing w:after="0" w:line="360" w:lineRule="auto"/>
        <w:jc w:val="both"/>
        <w:rPr>
          <w:rFonts w:ascii="Arial" w:hAnsi="Arial" w:cs="Arial"/>
          <w:sz w:val="16"/>
          <w:szCs w:val="16"/>
        </w:rPr>
      </w:pPr>
    </w:p>
    <w:p w:rsidR="000F3F79" w:rsidRDefault="00F44353" w:rsidP="000F3F79">
      <w:pPr>
        <w:tabs>
          <w:tab w:val="right" w:pos="9000"/>
        </w:tabs>
        <w:spacing w:before="240" w:after="240" w:line="360" w:lineRule="auto"/>
        <w:jc w:val="both"/>
        <w:rPr>
          <w:rFonts w:ascii="Arial" w:hAnsi="Arial" w:cs="Arial"/>
          <w:b/>
          <w:sz w:val="24"/>
          <w:szCs w:val="24"/>
        </w:rPr>
      </w:pPr>
      <w:r>
        <w:rPr>
          <w:rFonts w:ascii="Arial" w:hAnsi="Arial" w:cs="Arial"/>
          <w:b/>
          <w:sz w:val="24"/>
          <w:szCs w:val="24"/>
        </w:rPr>
        <w:t xml:space="preserve">THE PROSECUTOR </w:t>
      </w:r>
      <w:r w:rsidR="000F3F79">
        <w:rPr>
          <w:rFonts w:ascii="Arial" w:hAnsi="Arial" w:cs="Arial"/>
          <w:b/>
          <w:sz w:val="24"/>
          <w:szCs w:val="24"/>
        </w:rPr>
        <w:t xml:space="preserve">– GENERAL </w:t>
      </w:r>
      <w:r w:rsidR="000F3B9B">
        <w:rPr>
          <w:rFonts w:ascii="Arial" w:hAnsi="Arial" w:cs="Arial"/>
          <w:b/>
          <w:sz w:val="24"/>
          <w:szCs w:val="24"/>
        </w:rPr>
        <w:t xml:space="preserve">                 </w:t>
      </w:r>
      <w:r w:rsidR="000F3F79">
        <w:rPr>
          <w:rFonts w:ascii="Arial" w:hAnsi="Arial" w:cs="Arial"/>
          <w:b/>
          <w:sz w:val="24"/>
          <w:szCs w:val="24"/>
        </w:rPr>
        <w:t xml:space="preserve">   FIRST RESPONDENT</w:t>
      </w:r>
      <w:r w:rsidR="000F3B9B">
        <w:rPr>
          <w:rFonts w:ascii="Arial" w:hAnsi="Arial" w:cs="Arial"/>
          <w:b/>
          <w:sz w:val="24"/>
          <w:szCs w:val="24"/>
        </w:rPr>
        <w:br/>
      </w:r>
      <w:r w:rsidR="000F3F79">
        <w:rPr>
          <w:rFonts w:ascii="Arial" w:hAnsi="Arial" w:cs="Arial"/>
          <w:b/>
          <w:sz w:val="24"/>
          <w:szCs w:val="24"/>
        </w:rPr>
        <w:t>BUSINESS AND INTELLECTUAL PROPERTY</w:t>
      </w:r>
    </w:p>
    <w:p w:rsidR="000F3B9B" w:rsidRDefault="000F3F79" w:rsidP="000F3B9B">
      <w:pPr>
        <w:tabs>
          <w:tab w:val="right" w:pos="9000"/>
        </w:tabs>
        <w:spacing w:after="0" w:line="360" w:lineRule="auto"/>
        <w:jc w:val="both"/>
        <w:rPr>
          <w:rFonts w:ascii="Arial" w:hAnsi="Arial" w:cs="Arial"/>
          <w:b/>
          <w:sz w:val="24"/>
          <w:szCs w:val="24"/>
        </w:rPr>
      </w:pPr>
      <w:r>
        <w:rPr>
          <w:rFonts w:ascii="Arial" w:hAnsi="Arial" w:cs="Arial"/>
          <w:b/>
          <w:sz w:val="24"/>
          <w:szCs w:val="24"/>
        </w:rPr>
        <w:t>AUTHORITY                                                                       SECOND RESPONDENT</w:t>
      </w:r>
      <w:r w:rsidR="000F3B9B">
        <w:rPr>
          <w:rFonts w:ascii="Arial" w:hAnsi="Arial" w:cs="Arial"/>
          <w:b/>
          <w:sz w:val="24"/>
          <w:szCs w:val="24"/>
        </w:rPr>
        <w:t xml:space="preserve">                                         </w:t>
      </w:r>
      <w:r>
        <w:rPr>
          <w:rFonts w:ascii="Arial" w:hAnsi="Arial" w:cs="Arial"/>
          <w:b/>
          <w:sz w:val="24"/>
          <w:szCs w:val="24"/>
        </w:rPr>
        <w:t xml:space="preserve">           </w:t>
      </w:r>
    </w:p>
    <w:p w:rsidR="000F3B9B" w:rsidRDefault="000F3B9B" w:rsidP="000F3B9B">
      <w:pPr>
        <w:spacing w:after="0" w:line="360" w:lineRule="auto"/>
        <w:ind w:left="2160" w:hanging="2160"/>
        <w:jc w:val="both"/>
        <w:rPr>
          <w:rFonts w:ascii="Arial" w:hAnsi="Arial" w:cs="Arial"/>
          <w:sz w:val="24"/>
          <w:szCs w:val="24"/>
        </w:rPr>
      </w:pPr>
    </w:p>
    <w:p w:rsidR="000F3B9B" w:rsidRPr="005D6C92" w:rsidRDefault="000F3B9B" w:rsidP="000F3B9B">
      <w:pPr>
        <w:spacing w:after="0" w:line="360" w:lineRule="auto"/>
        <w:ind w:hanging="33"/>
        <w:jc w:val="both"/>
        <w:rPr>
          <w:rFonts w:ascii="Arial" w:hAnsi="Arial" w:cs="Arial"/>
          <w:sz w:val="24"/>
          <w:szCs w:val="24"/>
        </w:rPr>
      </w:pPr>
      <w:r>
        <w:rPr>
          <w:rFonts w:ascii="Arial" w:hAnsi="Arial" w:cs="Arial"/>
          <w:b/>
          <w:sz w:val="24"/>
          <w:szCs w:val="24"/>
        </w:rPr>
        <w:t>Neutral citation:</w:t>
      </w:r>
      <w:r>
        <w:rPr>
          <w:rFonts w:ascii="Arial" w:hAnsi="Arial" w:cs="Arial"/>
          <w:b/>
          <w:sz w:val="24"/>
          <w:szCs w:val="24"/>
        </w:rPr>
        <w:tab/>
      </w:r>
      <w:r w:rsidR="000F3F79">
        <w:rPr>
          <w:rFonts w:ascii="Arial" w:hAnsi="Arial" w:cs="Arial"/>
          <w:i/>
          <w:sz w:val="24"/>
          <w:szCs w:val="24"/>
        </w:rPr>
        <w:t xml:space="preserve">Shilengudwa </w:t>
      </w:r>
      <w:r>
        <w:rPr>
          <w:rFonts w:ascii="Arial" w:hAnsi="Arial" w:cs="Arial"/>
          <w:i/>
          <w:sz w:val="24"/>
          <w:szCs w:val="24"/>
        </w:rPr>
        <w:t xml:space="preserve">v </w:t>
      </w:r>
      <w:r w:rsidR="000F3F79">
        <w:rPr>
          <w:rFonts w:ascii="Arial" w:hAnsi="Arial" w:cs="Arial"/>
          <w:i/>
          <w:sz w:val="24"/>
          <w:szCs w:val="24"/>
        </w:rPr>
        <w:t>The Prosecutor - General</w:t>
      </w:r>
      <w:r>
        <w:rPr>
          <w:rFonts w:ascii="Arial" w:hAnsi="Arial" w:cs="Arial"/>
          <w:i/>
          <w:sz w:val="24"/>
          <w:szCs w:val="24"/>
        </w:rPr>
        <w:t xml:space="preserve"> </w:t>
      </w:r>
      <w:r w:rsidRPr="005D6C92">
        <w:rPr>
          <w:rFonts w:ascii="Arial" w:hAnsi="Arial" w:cs="Arial"/>
          <w:sz w:val="24"/>
          <w:szCs w:val="24"/>
        </w:rPr>
        <w:t>(</w:t>
      </w:r>
      <w:r w:rsidR="000F3F79">
        <w:rPr>
          <w:rFonts w:ascii="Arial" w:hAnsi="Arial" w:cs="Arial"/>
          <w:sz w:val="24"/>
          <w:szCs w:val="24"/>
        </w:rPr>
        <w:t>HC-MD-CIV-MOT-POCA-2018/00140</w:t>
      </w:r>
      <w:r w:rsidRPr="005D6C92">
        <w:rPr>
          <w:rFonts w:ascii="Arial" w:hAnsi="Arial" w:cs="Arial"/>
          <w:sz w:val="24"/>
          <w:szCs w:val="24"/>
        </w:rPr>
        <w:t>) [20</w:t>
      </w:r>
      <w:r>
        <w:rPr>
          <w:rFonts w:ascii="Arial" w:hAnsi="Arial" w:cs="Arial"/>
          <w:sz w:val="24"/>
          <w:szCs w:val="24"/>
        </w:rPr>
        <w:t>19</w:t>
      </w:r>
      <w:r w:rsidRPr="005D6C92">
        <w:rPr>
          <w:rFonts w:ascii="Arial" w:hAnsi="Arial" w:cs="Arial"/>
          <w:sz w:val="24"/>
          <w:szCs w:val="24"/>
        </w:rPr>
        <w:t>] NAHC</w:t>
      </w:r>
      <w:r>
        <w:rPr>
          <w:rFonts w:ascii="Arial" w:hAnsi="Arial" w:cs="Arial"/>
          <w:sz w:val="24"/>
          <w:szCs w:val="24"/>
        </w:rPr>
        <w:t>M</w:t>
      </w:r>
      <w:r w:rsidRPr="005D6C92">
        <w:rPr>
          <w:rFonts w:ascii="Arial" w:hAnsi="Arial" w:cs="Arial"/>
          <w:sz w:val="24"/>
          <w:szCs w:val="24"/>
        </w:rPr>
        <w:t xml:space="preserve">D </w:t>
      </w:r>
      <w:r w:rsidR="00F4169C">
        <w:rPr>
          <w:rFonts w:ascii="Arial" w:hAnsi="Arial" w:cs="Arial"/>
          <w:sz w:val="24"/>
          <w:szCs w:val="24"/>
        </w:rPr>
        <w:t>256</w:t>
      </w:r>
      <w:r w:rsidRPr="005D6C92">
        <w:rPr>
          <w:rFonts w:ascii="Arial" w:hAnsi="Arial" w:cs="Arial"/>
          <w:sz w:val="24"/>
          <w:szCs w:val="24"/>
        </w:rPr>
        <w:t xml:space="preserve"> (</w:t>
      </w:r>
      <w:r w:rsidR="000F3F79">
        <w:rPr>
          <w:rFonts w:ascii="Arial" w:hAnsi="Arial" w:cs="Arial"/>
          <w:sz w:val="24"/>
          <w:szCs w:val="24"/>
        </w:rPr>
        <w:t>24 July</w:t>
      </w:r>
      <w:r>
        <w:rPr>
          <w:rFonts w:ascii="Arial" w:hAnsi="Arial" w:cs="Arial"/>
          <w:sz w:val="24"/>
          <w:szCs w:val="24"/>
        </w:rPr>
        <w:t xml:space="preserve"> 2019</w:t>
      </w:r>
      <w:r w:rsidRPr="005D6C92">
        <w:rPr>
          <w:rFonts w:ascii="Arial" w:hAnsi="Arial" w:cs="Arial"/>
          <w:sz w:val="24"/>
          <w:szCs w:val="24"/>
        </w:rPr>
        <w:t>)</w:t>
      </w:r>
    </w:p>
    <w:p w:rsidR="000F3B9B" w:rsidRPr="006E026B" w:rsidRDefault="000F3B9B" w:rsidP="000F3B9B">
      <w:pPr>
        <w:spacing w:after="0" w:line="360" w:lineRule="auto"/>
        <w:ind w:left="2160" w:hanging="2160"/>
        <w:jc w:val="both"/>
        <w:rPr>
          <w:rFonts w:ascii="Arial" w:hAnsi="Arial" w:cs="Arial"/>
          <w:sz w:val="24"/>
          <w:szCs w:val="24"/>
        </w:rPr>
      </w:pPr>
    </w:p>
    <w:p w:rsidR="000F3B9B" w:rsidRDefault="000F3B9B" w:rsidP="000F3B9B">
      <w:pPr>
        <w:spacing w:after="0" w:line="360" w:lineRule="auto"/>
        <w:ind w:left="1440" w:hanging="1440"/>
        <w:jc w:val="both"/>
        <w:rPr>
          <w:rFonts w:ascii="Arial" w:hAnsi="Arial" w:cs="Arial"/>
          <w:sz w:val="24"/>
          <w:szCs w:val="24"/>
        </w:rPr>
      </w:pPr>
      <w:r w:rsidRPr="006E026B">
        <w:rPr>
          <w:rFonts w:ascii="Arial" w:hAnsi="Arial" w:cs="Arial"/>
          <w:b/>
          <w:sz w:val="24"/>
          <w:szCs w:val="24"/>
        </w:rPr>
        <w:t>Coram:</w:t>
      </w:r>
      <w:r w:rsidRPr="006E026B">
        <w:rPr>
          <w:rFonts w:ascii="Arial" w:hAnsi="Arial" w:cs="Arial"/>
          <w:sz w:val="24"/>
          <w:szCs w:val="24"/>
        </w:rPr>
        <w:tab/>
      </w:r>
      <w:r w:rsidR="000F3F79">
        <w:rPr>
          <w:rFonts w:ascii="Arial" w:hAnsi="Arial" w:cs="Arial"/>
          <w:sz w:val="24"/>
          <w:szCs w:val="24"/>
        </w:rPr>
        <w:t>MASUKU J</w:t>
      </w:r>
    </w:p>
    <w:p w:rsidR="00F44353" w:rsidRPr="006E026B" w:rsidRDefault="00F44353" w:rsidP="000F3B9B">
      <w:pPr>
        <w:spacing w:after="0" w:line="360" w:lineRule="auto"/>
        <w:ind w:left="1440" w:hanging="1440"/>
        <w:jc w:val="both"/>
        <w:rPr>
          <w:rFonts w:ascii="Arial" w:hAnsi="Arial" w:cs="Arial"/>
          <w:b/>
          <w:i/>
          <w:sz w:val="24"/>
          <w:szCs w:val="24"/>
        </w:rPr>
      </w:pPr>
    </w:p>
    <w:p w:rsidR="000F3B9B" w:rsidRPr="006E026B" w:rsidRDefault="000F3B9B" w:rsidP="000F3B9B">
      <w:pPr>
        <w:spacing w:after="0" w:line="360" w:lineRule="auto"/>
        <w:ind w:left="1440" w:hanging="1440"/>
        <w:rPr>
          <w:rFonts w:ascii="Arial" w:hAnsi="Arial" w:cs="Arial"/>
          <w:b/>
          <w:sz w:val="24"/>
          <w:szCs w:val="24"/>
        </w:rPr>
      </w:pPr>
      <w:r w:rsidRPr="006E026B">
        <w:rPr>
          <w:rFonts w:ascii="Arial" w:hAnsi="Arial" w:cs="Arial"/>
          <w:b/>
          <w:bCs/>
          <w:sz w:val="24"/>
          <w:szCs w:val="24"/>
        </w:rPr>
        <w:t>Heard</w:t>
      </w:r>
      <w:r w:rsidRPr="006E026B">
        <w:rPr>
          <w:rFonts w:ascii="Arial" w:hAnsi="Arial" w:cs="Arial"/>
          <w:sz w:val="24"/>
          <w:szCs w:val="24"/>
        </w:rPr>
        <w:t>:</w:t>
      </w:r>
      <w:r w:rsidRPr="006E026B">
        <w:rPr>
          <w:rFonts w:ascii="Arial" w:hAnsi="Arial" w:cs="Arial"/>
          <w:sz w:val="24"/>
          <w:szCs w:val="24"/>
        </w:rPr>
        <w:tab/>
      </w:r>
      <w:r w:rsidR="000F3F79" w:rsidRPr="000F3F79">
        <w:rPr>
          <w:rFonts w:ascii="Arial" w:hAnsi="Arial" w:cs="Arial"/>
          <w:sz w:val="24"/>
          <w:szCs w:val="24"/>
        </w:rPr>
        <w:t>24 June 2019</w:t>
      </w:r>
    </w:p>
    <w:p w:rsidR="000F3B9B" w:rsidRPr="006E026B" w:rsidRDefault="000F3B9B" w:rsidP="000F3B9B">
      <w:pPr>
        <w:spacing w:after="0" w:line="360" w:lineRule="auto"/>
        <w:jc w:val="both"/>
        <w:rPr>
          <w:rFonts w:ascii="Arial" w:hAnsi="Arial" w:cs="Arial"/>
          <w:b/>
          <w:sz w:val="24"/>
          <w:szCs w:val="24"/>
        </w:rPr>
      </w:pPr>
      <w:r w:rsidRPr="006E026B">
        <w:rPr>
          <w:rFonts w:ascii="Arial" w:hAnsi="Arial" w:cs="Arial"/>
          <w:b/>
          <w:bCs/>
          <w:sz w:val="24"/>
          <w:szCs w:val="24"/>
        </w:rPr>
        <w:t>Delivered</w:t>
      </w:r>
      <w:r w:rsidRPr="006E026B">
        <w:rPr>
          <w:rFonts w:ascii="Arial" w:hAnsi="Arial" w:cs="Arial"/>
          <w:sz w:val="24"/>
          <w:szCs w:val="24"/>
        </w:rPr>
        <w:t>:</w:t>
      </w:r>
      <w:r w:rsidRPr="006E026B">
        <w:rPr>
          <w:rFonts w:ascii="Arial" w:hAnsi="Arial" w:cs="Arial"/>
          <w:sz w:val="24"/>
          <w:szCs w:val="24"/>
        </w:rPr>
        <w:tab/>
      </w:r>
      <w:r w:rsidR="000F3F79" w:rsidRPr="000F3F79">
        <w:rPr>
          <w:rFonts w:ascii="Arial" w:hAnsi="Arial" w:cs="Arial"/>
          <w:sz w:val="24"/>
          <w:szCs w:val="24"/>
        </w:rPr>
        <w:t>24 July 2019</w:t>
      </w:r>
    </w:p>
    <w:p w:rsidR="000F3B9B" w:rsidRPr="006E026B" w:rsidRDefault="000F3B9B" w:rsidP="000F3B9B">
      <w:pPr>
        <w:spacing w:after="0" w:line="360" w:lineRule="auto"/>
        <w:jc w:val="both"/>
        <w:rPr>
          <w:rFonts w:ascii="Arial" w:hAnsi="Arial" w:cs="Arial"/>
          <w:b/>
          <w:sz w:val="24"/>
          <w:szCs w:val="24"/>
        </w:rPr>
      </w:pPr>
    </w:p>
    <w:p w:rsidR="00A81536" w:rsidRDefault="000F3B9B" w:rsidP="000F3B9B">
      <w:pPr>
        <w:spacing w:after="0" w:line="360" w:lineRule="auto"/>
        <w:jc w:val="both"/>
        <w:rPr>
          <w:rFonts w:ascii="Arial" w:hAnsi="Arial" w:cs="Arial"/>
          <w:sz w:val="24"/>
          <w:szCs w:val="24"/>
        </w:rPr>
      </w:pPr>
      <w:r w:rsidRPr="006E026B">
        <w:rPr>
          <w:rFonts w:ascii="Arial" w:hAnsi="Arial" w:cs="Arial"/>
          <w:b/>
          <w:sz w:val="24"/>
          <w:szCs w:val="24"/>
        </w:rPr>
        <w:t>Flynote:</w:t>
      </w:r>
      <w:r w:rsidRPr="006E026B">
        <w:rPr>
          <w:rFonts w:ascii="Arial" w:hAnsi="Arial" w:cs="Arial"/>
          <w:b/>
          <w:sz w:val="24"/>
          <w:szCs w:val="24"/>
        </w:rPr>
        <w:tab/>
      </w:r>
      <w:r w:rsidR="00A81536">
        <w:rPr>
          <w:rFonts w:ascii="Arial" w:hAnsi="Arial" w:cs="Arial"/>
          <w:sz w:val="24"/>
          <w:szCs w:val="24"/>
        </w:rPr>
        <w:t xml:space="preserve"> </w:t>
      </w:r>
      <w:r w:rsidR="000B2277">
        <w:rPr>
          <w:rFonts w:ascii="Arial" w:hAnsi="Arial" w:cs="Arial"/>
          <w:sz w:val="24"/>
          <w:szCs w:val="24"/>
        </w:rPr>
        <w:t>Civil procedure – Rules of court – Rule 61 – irregular step or proceeding. POCA –</w:t>
      </w:r>
      <w:r w:rsidR="00013D12">
        <w:rPr>
          <w:rFonts w:ascii="Arial" w:hAnsi="Arial" w:cs="Arial"/>
          <w:sz w:val="24"/>
          <w:szCs w:val="24"/>
        </w:rPr>
        <w:t xml:space="preserve"> s</w:t>
      </w:r>
      <w:r w:rsidR="000B2277">
        <w:rPr>
          <w:rFonts w:ascii="Arial" w:hAnsi="Arial" w:cs="Arial"/>
          <w:sz w:val="24"/>
          <w:szCs w:val="24"/>
        </w:rPr>
        <w:t xml:space="preserve"> 59(1) – regulation 7 – forfeiture application – rule 79(2) - contents of application – rule 65(1) – requirements in respect of applications –   whether </w:t>
      </w:r>
      <w:r w:rsidR="00013D12">
        <w:rPr>
          <w:rFonts w:ascii="Arial" w:hAnsi="Arial" w:cs="Arial"/>
          <w:sz w:val="24"/>
          <w:szCs w:val="24"/>
        </w:rPr>
        <w:t>s</w:t>
      </w:r>
      <w:r w:rsidR="000B2277">
        <w:rPr>
          <w:rFonts w:ascii="Arial" w:hAnsi="Arial" w:cs="Arial"/>
          <w:sz w:val="24"/>
          <w:szCs w:val="24"/>
        </w:rPr>
        <w:t xml:space="preserve"> 59(1) application brought on notice of motion, supported by a fresh founding affidavit and </w:t>
      </w:r>
      <w:r w:rsidR="000B2277">
        <w:rPr>
          <w:rFonts w:ascii="Arial" w:hAnsi="Arial" w:cs="Arial"/>
          <w:sz w:val="24"/>
          <w:szCs w:val="24"/>
        </w:rPr>
        <w:lastRenderedPageBreak/>
        <w:t>confirmatory affidavits thereto, calling upon applicants</w:t>
      </w:r>
      <w:r w:rsidR="00013D12">
        <w:rPr>
          <w:rFonts w:ascii="Arial" w:hAnsi="Arial" w:cs="Arial"/>
          <w:sz w:val="24"/>
          <w:szCs w:val="24"/>
        </w:rPr>
        <w:t xml:space="preserve"> to indicate their intent to oppose and file answering papers within a specified time constitute an irregular step or proceedings within the meaning of rule 61. </w:t>
      </w:r>
      <w:r w:rsidR="000B2277">
        <w:rPr>
          <w:rFonts w:ascii="Arial" w:hAnsi="Arial" w:cs="Arial"/>
          <w:sz w:val="24"/>
          <w:szCs w:val="24"/>
        </w:rPr>
        <w:t xml:space="preserve"> </w:t>
      </w:r>
    </w:p>
    <w:p w:rsidR="00013D12" w:rsidRDefault="00013D12" w:rsidP="000F3B9B">
      <w:pPr>
        <w:spacing w:after="0" w:line="360" w:lineRule="auto"/>
        <w:jc w:val="both"/>
        <w:rPr>
          <w:rFonts w:ascii="Arial" w:hAnsi="Arial" w:cs="Arial"/>
          <w:sz w:val="24"/>
          <w:szCs w:val="24"/>
        </w:rPr>
      </w:pPr>
    </w:p>
    <w:p w:rsidR="00013D12" w:rsidRDefault="00013D12" w:rsidP="000F3B9B">
      <w:pPr>
        <w:spacing w:after="0" w:line="360" w:lineRule="auto"/>
        <w:jc w:val="both"/>
        <w:rPr>
          <w:rFonts w:ascii="Arial" w:hAnsi="Arial" w:cs="Arial"/>
          <w:sz w:val="24"/>
          <w:szCs w:val="24"/>
        </w:rPr>
      </w:pPr>
      <w:r>
        <w:rPr>
          <w:rFonts w:ascii="Arial" w:hAnsi="Arial" w:cs="Arial"/>
          <w:sz w:val="24"/>
          <w:szCs w:val="24"/>
        </w:rPr>
        <w:t xml:space="preserve">Civil procedure – Condonation – POCA – s 60(1) – application to court – requirements in respect of time period – powers of court when determining condonation under POCA – s 60(3) – requirements to be satisfied – whether court may, notwithstanding the express and unambiguous provisions of s 60(1), consider and decide an application for condonation outside the prescriptive time period.  </w:t>
      </w:r>
    </w:p>
    <w:p w:rsidR="000F3B9B" w:rsidRDefault="000F3B9B" w:rsidP="000F3B9B">
      <w:pPr>
        <w:spacing w:after="0" w:line="360" w:lineRule="auto"/>
        <w:jc w:val="both"/>
        <w:rPr>
          <w:rFonts w:ascii="Arial" w:hAnsi="Arial" w:cs="Arial"/>
          <w:bCs/>
          <w:sz w:val="24"/>
          <w:szCs w:val="24"/>
        </w:rPr>
      </w:pPr>
    </w:p>
    <w:p w:rsidR="000F3B9B" w:rsidRDefault="000F3B9B" w:rsidP="000F3B9B">
      <w:pPr>
        <w:spacing w:after="0" w:line="360" w:lineRule="auto"/>
        <w:jc w:val="both"/>
        <w:rPr>
          <w:rFonts w:ascii="Arial" w:hAnsi="Arial" w:cs="Arial"/>
          <w:sz w:val="24"/>
          <w:szCs w:val="24"/>
        </w:rPr>
      </w:pPr>
      <w:r w:rsidRPr="006E026B">
        <w:rPr>
          <w:rFonts w:ascii="Arial" w:hAnsi="Arial" w:cs="Arial"/>
          <w:b/>
          <w:sz w:val="24"/>
          <w:szCs w:val="24"/>
        </w:rPr>
        <w:t>Summary:</w:t>
      </w:r>
      <w:r w:rsidRPr="00A9204A">
        <w:rPr>
          <w:rFonts w:ascii="Arial" w:hAnsi="Arial" w:cs="Arial"/>
          <w:sz w:val="24"/>
          <w:szCs w:val="24"/>
        </w:rPr>
        <w:tab/>
      </w:r>
      <w:r w:rsidR="00013D12">
        <w:rPr>
          <w:rFonts w:ascii="Arial" w:hAnsi="Arial" w:cs="Arial"/>
          <w:sz w:val="24"/>
          <w:szCs w:val="24"/>
        </w:rPr>
        <w:t xml:space="preserve">The Prosecutor – General </w:t>
      </w:r>
      <w:r w:rsidR="00CE77B6">
        <w:rPr>
          <w:rFonts w:ascii="Arial" w:hAnsi="Arial" w:cs="Arial"/>
          <w:sz w:val="24"/>
          <w:szCs w:val="24"/>
        </w:rPr>
        <w:t xml:space="preserve">(PG) </w:t>
      </w:r>
      <w:r w:rsidR="00013D12">
        <w:rPr>
          <w:rFonts w:ascii="Arial" w:hAnsi="Arial" w:cs="Arial"/>
          <w:sz w:val="24"/>
          <w:szCs w:val="24"/>
        </w:rPr>
        <w:t xml:space="preserve">obtained a preservation order </w:t>
      </w:r>
      <w:r w:rsidR="00CE77B6">
        <w:rPr>
          <w:rFonts w:ascii="Arial" w:hAnsi="Arial" w:cs="Arial"/>
          <w:sz w:val="24"/>
          <w:szCs w:val="24"/>
        </w:rPr>
        <w:t xml:space="preserve">under the Prevention of Organised Crime Act (POCA) </w:t>
      </w:r>
      <w:r w:rsidR="00013D12">
        <w:rPr>
          <w:rFonts w:ascii="Arial" w:hAnsi="Arial" w:cs="Arial"/>
          <w:sz w:val="24"/>
          <w:szCs w:val="24"/>
        </w:rPr>
        <w:t xml:space="preserve">in respect of certain properties of the applicants. </w:t>
      </w:r>
      <w:r w:rsidR="00CE77B6">
        <w:rPr>
          <w:rFonts w:ascii="Arial" w:hAnsi="Arial" w:cs="Arial"/>
          <w:sz w:val="24"/>
          <w:szCs w:val="24"/>
        </w:rPr>
        <w:t>The properties relate to an impugned property transaction wherein the second respondent (BIPA) seeks to obtain certain relief. The PG proceeded in terms of s 59(1) of POCA to apply for a forfeiture order and, by way of notice of motion supported by founding and confirmatory affidavits, called upon the applicants to indicate their intention to oppose and to then file answering papers in accordance with the rules of this court. The applicants declined the invitation and filed a rule 61 application, contending that the aforesaid steps taken by the PG are irregular and stand to be set aside.</w:t>
      </w:r>
      <w:r w:rsidR="00EE0768">
        <w:rPr>
          <w:rFonts w:ascii="Arial" w:hAnsi="Arial" w:cs="Arial"/>
          <w:sz w:val="24"/>
          <w:szCs w:val="24"/>
        </w:rPr>
        <w:t xml:space="preserve"> </w:t>
      </w:r>
      <w:r w:rsidR="009D1E28">
        <w:rPr>
          <w:rFonts w:ascii="Arial" w:hAnsi="Arial" w:cs="Arial"/>
          <w:sz w:val="24"/>
          <w:szCs w:val="24"/>
        </w:rPr>
        <w:t>BIPA, in filing its</w:t>
      </w:r>
      <w:r w:rsidR="00EE0768">
        <w:rPr>
          <w:rFonts w:ascii="Arial" w:hAnsi="Arial" w:cs="Arial"/>
          <w:sz w:val="24"/>
          <w:szCs w:val="24"/>
        </w:rPr>
        <w:t xml:space="preserve"> s </w:t>
      </w:r>
      <w:r w:rsidR="009D1E28">
        <w:rPr>
          <w:rFonts w:ascii="Arial" w:hAnsi="Arial" w:cs="Arial"/>
          <w:sz w:val="24"/>
          <w:szCs w:val="24"/>
        </w:rPr>
        <w:t xml:space="preserve">52(5) POCA </w:t>
      </w:r>
      <w:r w:rsidR="00EE0768">
        <w:rPr>
          <w:rFonts w:ascii="Arial" w:hAnsi="Arial" w:cs="Arial"/>
          <w:sz w:val="24"/>
          <w:szCs w:val="24"/>
        </w:rPr>
        <w:t>affidavit out of time</w:t>
      </w:r>
      <w:r w:rsidR="009D1E28">
        <w:rPr>
          <w:rFonts w:ascii="Arial" w:hAnsi="Arial" w:cs="Arial"/>
          <w:sz w:val="24"/>
          <w:szCs w:val="24"/>
        </w:rPr>
        <w:t>, sought condonation for leave to file its s 52(3) notice. BIPA contends that such application was filed and incorporated on 12 June 2018 in its s 52(5) affidavit and as such it substantially complied with s 60(1). It further filed a notice of motion on 3 October 2018, seeking to incorporate certain paragraphs of its s 52(5) affidavit, wherein it sought leave to file the statutory notice.</w:t>
      </w:r>
    </w:p>
    <w:p w:rsidR="003D2589" w:rsidRDefault="003D2589" w:rsidP="000F3B9B">
      <w:pPr>
        <w:spacing w:after="0" w:line="360" w:lineRule="auto"/>
        <w:jc w:val="both"/>
        <w:rPr>
          <w:rFonts w:ascii="Arial" w:hAnsi="Arial" w:cs="Arial"/>
          <w:sz w:val="24"/>
          <w:szCs w:val="24"/>
        </w:rPr>
      </w:pPr>
    </w:p>
    <w:p w:rsidR="000D5C9A" w:rsidRPr="00E4018C" w:rsidRDefault="00E4018C" w:rsidP="000F3B9B">
      <w:pPr>
        <w:spacing w:after="0" w:line="360" w:lineRule="auto"/>
        <w:jc w:val="both"/>
        <w:rPr>
          <w:rFonts w:ascii="Arial" w:hAnsi="Arial" w:cs="Arial"/>
          <w:bCs/>
          <w:sz w:val="24"/>
          <w:szCs w:val="24"/>
        </w:rPr>
      </w:pPr>
      <w:r>
        <w:rPr>
          <w:rFonts w:ascii="Arial" w:hAnsi="Arial" w:cs="Arial"/>
          <w:bCs/>
          <w:sz w:val="24"/>
          <w:szCs w:val="24"/>
        </w:rPr>
        <w:t>Held:</w:t>
      </w:r>
      <w:r w:rsidR="000D5C9A" w:rsidRPr="00E4018C">
        <w:rPr>
          <w:rFonts w:ascii="Arial" w:hAnsi="Arial" w:cs="Arial"/>
          <w:bCs/>
          <w:sz w:val="24"/>
          <w:szCs w:val="24"/>
        </w:rPr>
        <w:t xml:space="preserve"> what rule 61 contemplates is a step or proceeding not authorized in terms of the rules of court.</w:t>
      </w:r>
    </w:p>
    <w:p w:rsidR="004E3F27" w:rsidRPr="00E4018C" w:rsidRDefault="004E3F27" w:rsidP="000F3B9B">
      <w:pPr>
        <w:spacing w:after="0" w:line="360" w:lineRule="auto"/>
        <w:jc w:val="both"/>
        <w:rPr>
          <w:rFonts w:ascii="Arial" w:hAnsi="Arial" w:cs="Arial"/>
          <w:bCs/>
          <w:sz w:val="24"/>
          <w:szCs w:val="24"/>
        </w:rPr>
      </w:pPr>
    </w:p>
    <w:p w:rsidR="004E3F27" w:rsidRPr="00E4018C" w:rsidRDefault="004E3F27" w:rsidP="000F3B9B">
      <w:pPr>
        <w:spacing w:after="0" w:line="360" w:lineRule="auto"/>
        <w:jc w:val="both"/>
        <w:rPr>
          <w:rFonts w:ascii="Arial" w:hAnsi="Arial" w:cs="Arial"/>
          <w:bCs/>
          <w:sz w:val="24"/>
          <w:szCs w:val="24"/>
        </w:rPr>
      </w:pPr>
      <w:r w:rsidRPr="00E4018C">
        <w:rPr>
          <w:rFonts w:ascii="Arial" w:hAnsi="Arial" w:cs="Arial"/>
          <w:bCs/>
          <w:sz w:val="24"/>
          <w:szCs w:val="24"/>
        </w:rPr>
        <w:t>Held</w:t>
      </w:r>
      <w:r w:rsidR="00E4018C">
        <w:rPr>
          <w:rFonts w:ascii="Arial" w:hAnsi="Arial" w:cs="Arial"/>
          <w:bCs/>
          <w:sz w:val="24"/>
          <w:szCs w:val="24"/>
        </w:rPr>
        <w:t xml:space="preserve"> </w:t>
      </w:r>
      <w:r w:rsidRPr="00E4018C">
        <w:rPr>
          <w:rFonts w:ascii="Arial" w:hAnsi="Arial" w:cs="Arial"/>
          <w:bCs/>
          <w:sz w:val="24"/>
          <w:szCs w:val="24"/>
        </w:rPr>
        <w:t>that</w:t>
      </w:r>
      <w:r w:rsidR="00E4018C">
        <w:rPr>
          <w:rFonts w:ascii="Arial" w:hAnsi="Arial" w:cs="Arial"/>
          <w:bCs/>
          <w:sz w:val="24"/>
          <w:szCs w:val="24"/>
        </w:rPr>
        <w:t xml:space="preserve">: </w:t>
      </w:r>
      <w:r w:rsidRPr="00E4018C">
        <w:rPr>
          <w:rFonts w:ascii="Arial" w:hAnsi="Arial" w:cs="Arial"/>
          <w:bCs/>
          <w:sz w:val="24"/>
          <w:szCs w:val="24"/>
        </w:rPr>
        <w:t xml:space="preserve"> </w:t>
      </w:r>
      <w:r w:rsidR="00E4018C">
        <w:rPr>
          <w:rFonts w:ascii="Arial" w:hAnsi="Arial" w:cs="Arial"/>
          <w:bCs/>
          <w:sz w:val="24"/>
          <w:szCs w:val="24"/>
        </w:rPr>
        <w:t xml:space="preserve">rule 65(1) </w:t>
      </w:r>
      <w:r w:rsidRPr="00E4018C">
        <w:rPr>
          <w:rFonts w:ascii="Arial" w:hAnsi="Arial" w:cs="Arial"/>
          <w:bCs/>
          <w:sz w:val="24"/>
          <w:szCs w:val="24"/>
        </w:rPr>
        <w:t xml:space="preserve">is applicable to proceedings instituted under POCA. </w:t>
      </w:r>
    </w:p>
    <w:p w:rsidR="000D5C9A" w:rsidRPr="00E4018C" w:rsidRDefault="000D5C9A" w:rsidP="000F3B9B">
      <w:pPr>
        <w:spacing w:after="0" w:line="360" w:lineRule="auto"/>
        <w:jc w:val="both"/>
        <w:rPr>
          <w:rFonts w:ascii="Arial" w:hAnsi="Arial" w:cs="Arial"/>
          <w:bCs/>
          <w:sz w:val="24"/>
          <w:szCs w:val="24"/>
        </w:rPr>
      </w:pPr>
    </w:p>
    <w:p w:rsidR="000D5C9A" w:rsidRPr="00E4018C" w:rsidRDefault="00E4018C" w:rsidP="000F3B9B">
      <w:pPr>
        <w:spacing w:after="0" w:line="360" w:lineRule="auto"/>
        <w:jc w:val="both"/>
        <w:rPr>
          <w:rFonts w:ascii="Arial" w:hAnsi="Arial" w:cs="Arial"/>
          <w:bCs/>
          <w:sz w:val="24"/>
          <w:szCs w:val="24"/>
        </w:rPr>
      </w:pPr>
      <w:r>
        <w:rPr>
          <w:rFonts w:ascii="Arial" w:hAnsi="Arial" w:cs="Arial"/>
          <w:bCs/>
          <w:sz w:val="24"/>
          <w:szCs w:val="24"/>
        </w:rPr>
        <w:t xml:space="preserve">Held further </w:t>
      </w:r>
      <w:r w:rsidR="009A0B52" w:rsidRPr="00E4018C">
        <w:rPr>
          <w:rFonts w:ascii="Arial" w:hAnsi="Arial" w:cs="Arial"/>
          <w:bCs/>
          <w:sz w:val="24"/>
          <w:szCs w:val="24"/>
        </w:rPr>
        <w:t>that</w:t>
      </w:r>
      <w:r>
        <w:rPr>
          <w:rFonts w:ascii="Arial" w:hAnsi="Arial" w:cs="Arial"/>
          <w:bCs/>
          <w:sz w:val="24"/>
          <w:szCs w:val="24"/>
        </w:rPr>
        <w:t>:</w:t>
      </w:r>
      <w:r w:rsidR="009A0B52" w:rsidRPr="00E4018C">
        <w:rPr>
          <w:rFonts w:ascii="Arial" w:hAnsi="Arial" w:cs="Arial"/>
          <w:bCs/>
          <w:sz w:val="24"/>
          <w:szCs w:val="24"/>
        </w:rPr>
        <w:t xml:space="preserve"> an application for forfeiture is an application in terms of section 59(1) of POCA which must comply with regulation 7, read with rule 65(1) of the rules of this court.</w:t>
      </w:r>
    </w:p>
    <w:p w:rsidR="009A0B52" w:rsidRPr="00E4018C" w:rsidRDefault="009A0B52" w:rsidP="000F3B9B">
      <w:pPr>
        <w:spacing w:after="0" w:line="360" w:lineRule="auto"/>
        <w:jc w:val="both"/>
        <w:rPr>
          <w:rFonts w:ascii="Arial" w:hAnsi="Arial" w:cs="Arial"/>
          <w:bCs/>
          <w:sz w:val="24"/>
          <w:szCs w:val="24"/>
        </w:rPr>
      </w:pPr>
    </w:p>
    <w:p w:rsidR="004E3F27" w:rsidRPr="00E4018C" w:rsidRDefault="00E4018C" w:rsidP="000F3B9B">
      <w:pPr>
        <w:spacing w:after="0" w:line="360" w:lineRule="auto"/>
        <w:jc w:val="both"/>
        <w:rPr>
          <w:rFonts w:ascii="Arial" w:hAnsi="Arial" w:cs="Arial"/>
          <w:bCs/>
          <w:sz w:val="24"/>
          <w:szCs w:val="24"/>
        </w:rPr>
      </w:pPr>
      <w:r>
        <w:rPr>
          <w:rFonts w:ascii="Arial" w:hAnsi="Arial" w:cs="Arial"/>
          <w:bCs/>
          <w:sz w:val="24"/>
          <w:szCs w:val="24"/>
        </w:rPr>
        <w:lastRenderedPageBreak/>
        <w:t xml:space="preserve">Held that: </w:t>
      </w:r>
      <w:r w:rsidR="009A0B52" w:rsidRPr="00E4018C">
        <w:rPr>
          <w:rFonts w:ascii="Arial" w:hAnsi="Arial" w:cs="Arial"/>
          <w:bCs/>
          <w:sz w:val="24"/>
          <w:szCs w:val="24"/>
        </w:rPr>
        <w:t>a section 52 POCA notice does not serve to oppose a forfeiture application which, at that s</w:t>
      </w:r>
      <w:r>
        <w:rPr>
          <w:rFonts w:ascii="Arial" w:hAnsi="Arial" w:cs="Arial"/>
          <w:bCs/>
          <w:sz w:val="24"/>
          <w:szCs w:val="24"/>
        </w:rPr>
        <w:t>tage, has not even been issued.</w:t>
      </w:r>
    </w:p>
    <w:p w:rsidR="004E3F27" w:rsidRPr="00E4018C" w:rsidRDefault="004E3F27" w:rsidP="000F3B9B">
      <w:pPr>
        <w:spacing w:after="0" w:line="360" w:lineRule="auto"/>
        <w:jc w:val="both"/>
        <w:rPr>
          <w:rFonts w:ascii="Arial" w:hAnsi="Arial" w:cs="Arial"/>
          <w:bCs/>
          <w:sz w:val="24"/>
          <w:szCs w:val="24"/>
        </w:rPr>
      </w:pPr>
    </w:p>
    <w:p w:rsidR="004E3F27" w:rsidRPr="00E4018C" w:rsidRDefault="00E4018C" w:rsidP="000F3B9B">
      <w:pPr>
        <w:spacing w:after="0" w:line="360" w:lineRule="auto"/>
        <w:jc w:val="both"/>
        <w:rPr>
          <w:rFonts w:ascii="Arial" w:hAnsi="Arial" w:cs="Arial"/>
          <w:bCs/>
          <w:sz w:val="24"/>
          <w:szCs w:val="24"/>
        </w:rPr>
      </w:pPr>
      <w:r>
        <w:rPr>
          <w:rFonts w:ascii="Arial" w:hAnsi="Arial" w:cs="Arial"/>
          <w:bCs/>
          <w:sz w:val="24"/>
          <w:szCs w:val="24"/>
        </w:rPr>
        <w:t>Held further that:</w:t>
      </w:r>
      <w:r w:rsidR="004E3F27" w:rsidRPr="00E4018C">
        <w:rPr>
          <w:rFonts w:ascii="Arial" w:hAnsi="Arial" w:cs="Arial"/>
          <w:bCs/>
          <w:sz w:val="24"/>
          <w:szCs w:val="24"/>
        </w:rPr>
        <w:t xml:space="preserve"> a section 52 POCA notice </w:t>
      </w:r>
      <w:r w:rsidR="009A0B52" w:rsidRPr="00E4018C">
        <w:rPr>
          <w:rFonts w:ascii="Arial" w:hAnsi="Arial" w:cs="Arial"/>
          <w:bCs/>
          <w:sz w:val="24"/>
          <w:szCs w:val="24"/>
        </w:rPr>
        <w:t>serves</w:t>
      </w:r>
      <w:r w:rsidR="004E3F27" w:rsidRPr="00E4018C">
        <w:rPr>
          <w:rFonts w:ascii="Arial" w:hAnsi="Arial" w:cs="Arial"/>
          <w:bCs/>
          <w:sz w:val="24"/>
          <w:szCs w:val="24"/>
        </w:rPr>
        <w:t>, amongst others,</w:t>
      </w:r>
      <w:r w:rsidR="009A0B52" w:rsidRPr="00E4018C">
        <w:rPr>
          <w:rFonts w:ascii="Arial" w:hAnsi="Arial" w:cs="Arial"/>
          <w:bCs/>
          <w:sz w:val="24"/>
          <w:szCs w:val="24"/>
        </w:rPr>
        <w:t xml:space="preserve"> to permit a respondent to receive notice of a subsequent </w:t>
      </w:r>
      <w:r w:rsidR="004E3F27" w:rsidRPr="00E4018C">
        <w:rPr>
          <w:rFonts w:ascii="Arial" w:hAnsi="Arial" w:cs="Arial"/>
          <w:bCs/>
          <w:sz w:val="24"/>
          <w:szCs w:val="24"/>
        </w:rPr>
        <w:t xml:space="preserve">forfeiture </w:t>
      </w:r>
      <w:r w:rsidR="009A0B52" w:rsidRPr="00E4018C">
        <w:rPr>
          <w:rFonts w:ascii="Arial" w:hAnsi="Arial" w:cs="Arial"/>
          <w:bCs/>
          <w:sz w:val="24"/>
          <w:szCs w:val="24"/>
        </w:rPr>
        <w:t>application in terms of 59(2)</w:t>
      </w:r>
      <w:r>
        <w:rPr>
          <w:rFonts w:ascii="Arial" w:hAnsi="Arial" w:cs="Arial"/>
          <w:bCs/>
          <w:sz w:val="24"/>
          <w:szCs w:val="24"/>
        </w:rPr>
        <w:t xml:space="preserve"> POCA.</w:t>
      </w:r>
    </w:p>
    <w:p w:rsidR="004E3F27" w:rsidRPr="00E4018C" w:rsidRDefault="004E3F27" w:rsidP="000F3B9B">
      <w:pPr>
        <w:spacing w:after="0" w:line="360" w:lineRule="auto"/>
        <w:jc w:val="both"/>
        <w:rPr>
          <w:rFonts w:ascii="Arial" w:hAnsi="Arial" w:cs="Arial"/>
          <w:bCs/>
          <w:sz w:val="24"/>
          <w:szCs w:val="24"/>
        </w:rPr>
      </w:pPr>
    </w:p>
    <w:p w:rsidR="009A0B52" w:rsidRPr="00E4018C" w:rsidRDefault="00E4018C" w:rsidP="000F3B9B">
      <w:pPr>
        <w:spacing w:after="0" w:line="360" w:lineRule="auto"/>
        <w:jc w:val="both"/>
        <w:rPr>
          <w:rFonts w:ascii="Arial" w:hAnsi="Arial" w:cs="Arial"/>
          <w:bCs/>
          <w:sz w:val="24"/>
          <w:szCs w:val="24"/>
        </w:rPr>
      </w:pPr>
      <w:r>
        <w:rPr>
          <w:rFonts w:ascii="Arial" w:hAnsi="Arial" w:cs="Arial"/>
          <w:bCs/>
          <w:sz w:val="24"/>
          <w:szCs w:val="24"/>
        </w:rPr>
        <w:t>Held that:</w:t>
      </w:r>
      <w:r w:rsidR="004E3F27" w:rsidRPr="00E4018C">
        <w:rPr>
          <w:rFonts w:ascii="Arial" w:hAnsi="Arial" w:cs="Arial"/>
          <w:bCs/>
          <w:sz w:val="24"/>
          <w:szCs w:val="24"/>
        </w:rPr>
        <w:t xml:space="preserve"> it is only a person who served a section 52 notice who may oppose a section 59(1) application in the manner provided for in section 59(4). and then may elect to oppose such application in terms of section 59(4) POCA. </w:t>
      </w:r>
    </w:p>
    <w:p w:rsidR="004E3F27" w:rsidRPr="00E4018C" w:rsidRDefault="004E3F27" w:rsidP="000F3B9B">
      <w:pPr>
        <w:spacing w:after="0" w:line="360" w:lineRule="auto"/>
        <w:jc w:val="both"/>
        <w:rPr>
          <w:rFonts w:ascii="Arial" w:hAnsi="Arial" w:cs="Arial"/>
          <w:bCs/>
          <w:sz w:val="24"/>
          <w:szCs w:val="24"/>
        </w:rPr>
      </w:pPr>
    </w:p>
    <w:p w:rsidR="004E3F27" w:rsidRPr="00E4018C" w:rsidRDefault="004E3F27" w:rsidP="000F3B9B">
      <w:pPr>
        <w:spacing w:after="0" w:line="360" w:lineRule="auto"/>
        <w:jc w:val="both"/>
        <w:rPr>
          <w:rFonts w:ascii="Arial" w:hAnsi="Arial" w:cs="Arial"/>
          <w:bCs/>
          <w:sz w:val="24"/>
          <w:szCs w:val="24"/>
        </w:rPr>
      </w:pPr>
      <w:r w:rsidRPr="00E4018C">
        <w:rPr>
          <w:rFonts w:ascii="Arial" w:hAnsi="Arial" w:cs="Arial"/>
          <w:bCs/>
          <w:sz w:val="24"/>
          <w:szCs w:val="24"/>
        </w:rPr>
        <w:t>Held</w:t>
      </w:r>
      <w:r w:rsidR="00E4018C">
        <w:rPr>
          <w:rFonts w:ascii="Arial" w:hAnsi="Arial" w:cs="Arial"/>
          <w:bCs/>
          <w:sz w:val="24"/>
          <w:szCs w:val="24"/>
        </w:rPr>
        <w:t xml:space="preserve"> </w:t>
      </w:r>
      <w:r w:rsidRPr="00E4018C">
        <w:rPr>
          <w:rFonts w:ascii="Arial" w:hAnsi="Arial" w:cs="Arial"/>
          <w:bCs/>
          <w:sz w:val="24"/>
          <w:szCs w:val="24"/>
        </w:rPr>
        <w:t xml:space="preserve">further </w:t>
      </w:r>
      <w:r w:rsidR="00E4018C">
        <w:rPr>
          <w:rFonts w:ascii="Arial" w:hAnsi="Arial" w:cs="Arial"/>
          <w:bCs/>
          <w:sz w:val="24"/>
          <w:szCs w:val="24"/>
        </w:rPr>
        <w:t xml:space="preserve">that: </w:t>
      </w:r>
      <w:r w:rsidRPr="00E4018C">
        <w:rPr>
          <w:rFonts w:ascii="Arial" w:hAnsi="Arial" w:cs="Arial"/>
          <w:bCs/>
          <w:sz w:val="24"/>
          <w:szCs w:val="24"/>
        </w:rPr>
        <w:t xml:space="preserve">a section 59(1) POCA application must comply with regulation 7 and rule 65(1) of the rules of this court. In these circumstances it can hardly be contended that the applicant’s application is one which is irregular within the meaning of rule 61. </w:t>
      </w:r>
    </w:p>
    <w:p w:rsidR="000D5C9A" w:rsidRPr="00E4018C" w:rsidRDefault="000D5C9A" w:rsidP="000F3B9B">
      <w:pPr>
        <w:spacing w:after="0" w:line="360" w:lineRule="auto"/>
        <w:jc w:val="both"/>
        <w:rPr>
          <w:rFonts w:ascii="Arial" w:hAnsi="Arial" w:cs="Arial"/>
          <w:bCs/>
          <w:sz w:val="24"/>
          <w:szCs w:val="24"/>
        </w:rPr>
      </w:pPr>
    </w:p>
    <w:p w:rsidR="000F3B9B" w:rsidRPr="006E026B" w:rsidRDefault="00E4018C" w:rsidP="000F3B9B">
      <w:pPr>
        <w:spacing w:after="0" w:line="360" w:lineRule="auto"/>
        <w:jc w:val="both"/>
        <w:rPr>
          <w:rFonts w:ascii="Arial" w:hAnsi="Arial" w:cs="Arial"/>
          <w:bCs/>
          <w:sz w:val="24"/>
          <w:szCs w:val="24"/>
        </w:rPr>
      </w:pPr>
      <w:r w:rsidRPr="00E4018C">
        <w:rPr>
          <w:rFonts w:ascii="Arial" w:hAnsi="Arial" w:cs="Arial"/>
          <w:bCs/>
          <w:sz w:val="24"/>
          <w:szCs w:val="24"/>
        </w:rPr>
        <w:t>Court accordingly dismissing the rule 61 and condonation application with costs.</w:t>
      </w:r>
      <w:r>
        <w:rPr>
          <w:rFonts w:ascii="Arial" w:hAnsi="Arial" w:cs="Arial"/>
          <w:bCs/>
          <w:sz w:val="24"/>
          <w:szCs w:val="24"/>
        </w:rPr>
        <w:t xml:space="preserve"> </w:t>
      </w:r>
      <w:r w:rsidR="00A1129A">
        <w:rPr>
          <w:rFonts w:ascii="Arial" w:hAnsi="Arial" w:cs="Arial"/>
          <w:bCs/>
          <w:sz w:val="24"/>
          <w:szCs w:val="24"/>
        </w:rPr>
        <w:pict>
          <v:rect id="_x0000_i1025" style="width:0;height:1.5pt" o:hralign="center" o:hrstd="t" o:hr="t" fillcolor="#a0a0a0" stroked="f"/>
        </w:pict>
      </w:r>
    </w:p>
    <w:p w:rsidR="000F3B9B" w:rsidRPr="006E026B" w:rsidRDefault="000F3B9B" w:rsidP="000F3B9B">
      <w:pPr>
        <w:spacing w:after="0" w:line="360" w:lineRule="auto"/>
        <w:jc w:val="center"/>
        <w:rPr>
          <w:rFonts w:ascii="Arial" w:hAnsi="Arial" w:cs="Arial"/>
          <w:b/>
          <w:bCs/>
          <w:sz w:val="24"/>
          <w:szCs w:val="24"/>
        </w:rPr>
      </w:pPr>
      <w:r w:rsidRPr="006E026B">
        <w:rPr>
          <w:rFonts w:ascii="Arial" w:hAnsi="Arial" w:cs="Arial"/>
          <w:b/>
          <w:bCs/>
          <w:sz w:val="24"/>
          <w:szCs w:val="24"/>
        </w:rPr>
        <w:t>ORDER</w:t>
      </w:r>
    </w:p>
    <w:p w:rsidR="000F3B9B" w:rsidRPr="006E026B" w:rsidRDefault="00A1129A" w:rsidP="000F3B9B">
      <w:pPr>
        <w:spacing w:after="0" w:line="360" w:lineRule="auto"/>
        <w:jc w:val="center"/>
        <w:rPr>
          <w:rFonts w:ascii="Arial" w:hAnsi="Arial" w:cs="Arial"/>
          <w:b/>
          <w:bCs/>
          <w:sz w:val="24"/>
          <w:szCs w:val="24"/>
        </w:rPr>
      </w:pPr>
      <w:r>
        <w:rPr>
          <w:rFonts w:ascii="Arial" w:hAnsi="Arial" w:cs="Arial"/>
          <w:bCs/>
          <w:sz w:val="24"/>
          <w:szCs w:val="24"/>
        </w:rPr>
        <w:pict>
          <v:rect id="_x0000_i1026" style="width:0;height:1.5pt" o:hralign="center" o:hrstd="t" o:hr="t" fillcolor="#a0a0a0" stroked="f"/>
        </w:pict>
      </w:r>
    </w:p>
    <w:p w:rsidR="000F3B9B" w:rsidRPr="00006083" w:rsidRDefault="000F3B9B" w:rsidP="000F3B9B">
      <w:pPr>
        <w:spacing w:after="0" w:line="360" w:lineRule="auto"/>
        <w:jc w:val="both"/>
        <w:rPr>
          <w:rFonts w:ascii="Arial" w:hAnsi="Arial" w:cs="Arial"/>
          <w:sz w:val="24"/>
          <w:szCs w:val="24"/>
        </w:rPr>
      </w:pPr>
    </w:p>
    <w:p w:rsidR="000F3B9B" w:rsidRDefault="00F44353" w:rsidP="0088070B">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A</w:t>
      </w:r>
      <w:r w:rsidR="0071790A">
        <w:rPr>
          <w:rFonts w:ascii="Arial" w:hAnsi="Arial" w:cs="Arial"/>
          <w:sz w:val="24"/>
          <w:szCs w:val="24"/>
        </w:rPr>
        <w:t>pplicant</w:t>
      </w:r>
      <w:r w:rsidR="0088070B">
        <w:rPr>
          <w:rFonts w:ascii="Arial" w:hAnsi="Arial" w:cs="Arial"/>
          <w:sz w:val="24"/>
          <w:szCs w:val="24"/>
        </w:rPr>
        <w:t>s</w:t>
      </w:r>
      <w:r w:rsidR="0071790A">
        <w:rPr>
          <w:rFonts w:ascii="Arial" w:hAnsi="Arial" w:cs="Arial"/>
          <w:sz w:val="24"/>
          <w:szCs w:val="24"/>
        </w:rPr>
        <w:t>’</w:t>
      </w:r>
      <w:r w:rsidR="0088070B">
        <w:rPr>
          <w:rFonts w:ascii="Arial" w:hAnsi="Arial" w:cs="Arial"/>
          <w:sz w:val="24"/>
          <w:szCs w:val="24"/>
        </w:rPr>
        <w:t xml:space="preserve"> Rule 61 application is refused.</w:t>
      </w:r>
    </w:p>
    <w:p w:rsidR="0088070B" w:rsidRDefault="00F44353" w:rsidP="0088070B">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A</w:t>
      </w:r>
      <w:r w:rsidR="0084189E">
        <w:rPr>
          <w:rFonts w:ascii="Arial" w:hAnsi="Arial" w:cs="Arial"/>
          <w:sz w:val="24"/>
          <w:szCs w:val="24"/>
        </w:rPr>
        <w:t xml:space="preserve">pplicants are ordered to pay the first respondent’s costs, not limited </w:t>
      </w:r>
      <w:r w:rsidR="0071790A">
        <w:rPr>
          <w:rFonts w:ascii="Arial" w:hAnsi="Arial" w:cs="Arial"/>
          <w:sz w:val="24"/>
          <w:szCs w:val="24"/>
        </w:rPr>
        <w:t>by rule 32(11</w:t>
      </w:r>
      <w:r w:rsidR="0084189E">
        <w:rPr>
          <w:rFonts w:ascii="Arial" w:hAnsi="Arial" w:cs="Arial"/>
          <w:sz w:val="24"/>
          <w:szCs w:val="24"/>
        </w:rPr>
        <w:t xml:space="preserve">), jointly and severally, the one paying the other to be absolved, including the </w:t>
      </w:r>
      <w:r w:rsidR="00F42C33">
        <w:rPr>
          <w:rFonts w:ascii="Arial" w:hAnsi="Arial" w:cs="Arial"/>
          <w:sz w:val="24"/>
          <w:szCs w:val="24"/>
        </w:rPr>
        <w:t>costs of one instructing and one</w:t>
      </w:r>
      <w:r w:rsidR="0084189E">
        <w:rPr>
          <w:rFonts w:ascii="Arial" w:hAnsi="Arial" w:cs="Arial"/>
          <w:sz w:val="24"/>
          <w:szCs w:val="24"/>
        </w:rPr>
        <w:t xml:space="preserve"> instructed counsel.</w:t>
      </w:r>
    </w:p>
    <w:p w:rsidR="0084189E" w:rsidRDefault="00F44353" w:rsidP="0088070B">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Second R</w:t>
      </w:r>
      <w:r w:rsidR="0084189E">
        <w:rPr>
          <w:rFonts w:ascii="Arial" w:hAnsi="Arial" w:cs="Arial"/>
          <w:sz w:val="24"/>
          <w:szCs w:val="24"/>
        </w:rPr>
        <w:t xml:space="preserve">espondent’s </w:t>
      </w:r>
      <w:r>
        <w:rPr>
          <w:rFonts w:ascii="Arial" w:hAnsi="Arial" w:cs="Arial"/>
          <w:sz w:val="24"/>
          <w:szCs w:val="24"/>
        </w:rPr>
        <w:t xml:space="preserve">application for </w:t>
      </w:r>
      <w:r w:rsidR="0084189E">
        <w:rPr>
          <w:rFonts w:ascii="Arial" w:hAnsi="Arial" w:cs="Arial"/>
          <w:sz w:val="24"/>
          <w:szCs w:val="24"/>
        </w:rPr>
        <w:t>condonati</w:t>
      </w:r>
      <w:r>
        <w:rPr>
          <w:rFonts w:ascii="Arial" w:hAnsi="Arial" w:cs="Arial"/>
          <w:sz w:val="24"/>
          <w:szCs w:val="24"/>
        </w:rPr>
        <w:t>on</w:t>
      </w:r>
      <w:r w:rsidR="0084189E">
        <w:rPr>
          <w:rFonts w:ascii="Arial" w:hAnsi="Arial" w:cs="Arial"/>
          <w:sz w:val="24"/>
          <w:szCs w:val="24"/>
        </w:rPr>
        <w:t xml:space="preserve"> is</w:t>
      </w:r>
      <w:r w:rsidR="003D2589">
        <w:rPr>
          <w:rFonts w:ascii="Arial" w:hAnsi="Arial" w:cs="Arial"/>
          <w:sz w:val="24"/>
          <w:szCs w:val="24"/>
        </w:rPr>
        <w:t xml:space="preserve"> refused</w:t>
      </w:r>
      <w:r>
        <w:rPr>
          <w:rFonts w:ascii="Arial" w:hAnsi="Arial" w:cs="Arial"/>
          <w:sz w:val="24"/>
          <w:szCs w:val="24"/>
        </w:rPr>
        <w:t>.</w:t>
      </w:r>
    </w:p>
    <w:p w:rsidR="0084189E" w:rsidRDefault="00F44353" w:rsidP="0084189E">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Second R</w:t>
      </w:r>
      <w:r w:rsidR="0084189E">
        <w:rPr>
          <w:rFonts w:ascii="Arial" w:hAnsi="Arial" w:cs="Arial"/>
          <w:sz w:val="24"/>
          <w:szCs w:val="24"/>
        </w:rPr>
        <w:t xml:space="preserve">espondent is ordered to pay the first respondent’s </w:t>
      </w:r>
      <w:r>
        <w:rPr>
          <w:rFonts w:ascii="Arial" w:hAnsi="Arial" w:cs="Arial"/>
          <w:sz w:val="24"/>
          <w:szCs w:val="24"/>
        </w:rPr>
        <w:t>costs, limited by R</w:t>
      </w:r>
      <w:r w:rsidR="0071790A">
        <w:rPr>
          <w:rFonts w:ascii="Arial" w:hAnsi="Arial" w:cs="Arial"/>
          <w:sz w:val="24"/>
          <w:szCs w:val="24"/>
        </w:rPr>
        <w:t>ule 32(11</w:t>
      </w:r>
      <w:r w:rsidR="003D2589">
        <w:rPr>
          <w:rFonts w:ascii="Arial" w:hAnsi="Arial" w:cs="Arial"/>
          <w:sz w:val="24"/>
          <w:szCs w:val="24"/>
        </w:rPr>
        <w:t>).</w:t>
      </w:r>
    </w:p>
    <w:p w:rsidR="0084189E" w:rsidRPr="0088070B" w:rsidRDefault="00F44353" w:rsidP="0088070B">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matter is postponed to 15 August 2019 at 08:30</w:t>
      </w:r>
      <w:r w:rsidR="0084189E">
        <w:rPr>
          <w:rFonts w:ascii="Arial" w:hAnsi="Arial" w:cs="Arial"/>
          <w:sz w:val="24"/>
          <w:szCs w:val="24"/>
        </w:rPr>
        <w:t xml:space="preserve"> for a status hearing to regulate the further conduct of the matter. </w:t>
      </w:r>
    </w:p>
    <w:p w:rsidR="000F3B9B" w:rsidRPr="006E026B" w:rsidRDefault="00A1129A" w:rsidP="000F3B9B">
      <w:pPr>
        <w:spacing w:after="0" w:line="360" w:lineRule="auto"/>
        <w:jc w:val="both"/>
        <w:rPr>
          <w:rFonts w:ascii="Arial" w:hAnsi="Arial" w:cs="Arial"/>
          <w:bCs/>
          <w:sz w:val="24"/>
          <w:szCs w:val="24"/>
        </w:rPr>
      </w:pPr>
      <w:r>
        <w:rPr>
          <w:rFonts w:ascii="Arial" w:hAnsi="Arial" w:cs="Arial"/>
          <w:bCs/>
          <w:sz w:val="24"/>
          <w:szCs w:val="24"/>
        </w:rPr>
        <w:pict>
          <v:rect id="_x0000_i1027" style="width:0;height:1.5pt" o:hralign="center" o:hrstd="t" o:hr="t" fillcolor="#a0a0a0" stroked="f"/>
        </w:pict>
      </w:r>
    </w:p>
    <w:p w:rsidR="000F3B9B" w:rsidRPr="006E026B" w:rsidRDefault="0084189E" w:rsidP="000F3B9B">
      <w:pPr>
        <w:spacing w:after="0" w:line="360" w:lineRule="auto"/>
        <w:jc w:val="center"/>
        <w:rPr>
          <w:rFonts w:ascii="Arial" w:hAnsi="Arial" w:cs="Arial"/>
          <w:b/>
          <w:sz w:val="24"/>
          <w:szCs w:val="24"/>
        </w:rPr>
      </w:pPr>
      <w:r>
        <w:rPr>
          <w:rFonts w:ascii="Arial" w:hAnsi="Arial" w:cs="Arial"/>
          <w:b/>
          <w:sz w:val="24"/>
          <w:szCs w:val="24"/>
        </w:rPr>
        <w:t>RULING</w:t>
      </w:r>
    </w:p>
    <w:p w:rsidR="000F3B9B" w:rsidRPr="006E026B" w:rsidRDefault="00A1129A" w:rsidP="000F3B9B">
      <w:pPr>
        <w:spacing w:after="0" w:line="360" w:lineRule="auto"/>
        <w:jc w:val="center"/>
        <w:rPr>
          <w:rFonts w:ascii="Arial" w:hAnsi="Arial" w:cs="Arial"/>
          <w:b/>
          <w:sz w:val="24"/>
          <w:szCs w:val="24"/>
        </w:rPr>
      </w:pPr>
      <w:r>
        <w:rPr>
          <w:rFonts w:ascii="Arial" w:hAnsi="Arial" w:cs="Arial"/>
          <w:bCs/>
          <w:sz w:val="24"/>
          <w:szCs w:val="24"/>
        </w:rPr>
        <w:pict>
          <v:rect id="_x0000_i1028" style="width:0;height:1.5pt" o:hralign="center" o:hrstd="t" o:hr="t" fillcolor="#a0a0a0" stroked="f"/>
        </w:pict>
      </w:r>
    </w:p>
    <w:p w:rsidR="000F3B9B" w:rsidRPr="002D5C30" w:rsidRDefault="000F3B9B" w:rsidP="000F3B9B">
      <w:pPr>
        <w:spacing w:after="0" w:line="360" w:lineRule="auto"/>
        <w:ind w:left="1440" w:hanging="1440"/>
        <w:jc w:val="both"/>
        <w:rPr>
          <w:rFonts w:ascii="Arial" w:hAnsi="Arial" w:cs="Arial"/>
          <w:sz w:val="24"/>
          <w:szCs w:val="24"/>
        </w:rPr>
      </w:pPr>
    </w:p>
    <w:p w:rsidR="00E4018C" w:rsidRDefault="00E4018C" w:rsidP="000F3B9B">
      <w:pPr>
        <w:spacing w:after="0" w:line="360" w:lineRule="auto"/>
        <w:ind w:left="1440" w:hanging="1440"/>
        <w:jc w:val="both"/>
        <w:rPr>
          <w:rFonts w:ascii="Arial" w:hAnsi="Arial" w:cs="Arial"/>
          <w:sz w:val="24"/>
          <w:szCs w:val="24"/>
        </w:rPr>
      </w:pPr>
    </w:p>
    <w:p w:rsidR="00E4018C" w:rsidRDefault="00E4018C" w:rsidP="000F3B9B">
      <w:pPr>
        <w:spacing w:after="0" w:line="360" w:lineRule="auto"/>
        <w:ind w:left="1440" w:hanging="1440"/>
        <w:jc w:val="both"/>
        <w:rPr>
          <w:rFonts w:ascii="Arial" w:hAnsi="Arial" w:cs="Arial"/>
          <w:sz w:val="24"/>
          <w:szCs w:val="24"/>
        </w:rPr>
      </w:pPr>
    </w:p>
    <w:p w:rsidR="00E4018C" w:rsidRDefault="00E4018C" w:rsidP="000F3B9B">
      <w:pPr>
        <w:spacing w:after="0" w:line="360" w:lineRule="auto"/>
        <w:ind w:left="1440" w:hanging="1440"/>
        <w:jc w:val="both"/>
        <w:rPr>
          <w:rFonts w:ascii="Arial" w:hAnsi="Arial" w:cs="Arial"/>
          <w:sz w:val="24"/>
          <w:szCs w:val="24"/>
        </w:rPr>
      </w:pPr>
    </w:p>
    <w:p w:rsidR="000F3B9B" w:rsidRDefault="0088070B" w:rsidP="000F3B9B">
      <w:pPr>
        <w:spacing w:after="0" w:line="360" w:lineRule="auto"/>
        <w:ind w:left="1440" w:hanging="1440"/>
        <w:jc w:val="both"/>
        <w:rPr>
          <w:rFonts w:ascii="Arial" w:hAnsi="Arial" w:cs="Arial"/>
          <w:sz w:val="24"/>
          <w:szCs w:val="24"/>
        </w:rPr>
      </w:pPr>
      <w:r>
        <w:rPr>
          <w:rFonts w:ascii="Arial" w:hAnsi="Arial" w:cs="Arial"/>
          <w:sz w:val="24"/>
          <w:szCs w:val="24"/>
        </w:rPr>
        <w:lastRenderedPageBreak/>
        <w:t>MASUKU J</w:t>
      </w:r>
      <w:r w:rsidR="000F3B9B" w:rsidRPr="006E026B">
        <w:rPr>
          <w:rFonts w:ascii="Arial" w:hAnsi="Arial" w:cs="Arial"/>
          <w:sz w:val="24"/>
          <w:szCs w:val="24"/>
        </w:rPr>
        <w:t>:</w:t>
      </w:r>
    </w:p>
    <w:p w:rsidR="00F44353" w:rsidRDefault="00F44353" w:rsidP="000F3B9B">
      <w:pPr>
        <w:spacing w:after="0" w:line="360" w:lineRule="auto"/>
        <w:ind w:left="1440" w:hanging="1440"/>
        <w:jc w:val="both"/>
        <w:rPr>
          <w:rFonts w:ascii="Arial" w:hAnsi="Arial" w:cs="Arial"/>
          <w:sz w:val="24"/>
          <w:szCs w:val="24"/>
        </w:rPr>
      </w:pPr>
    </w:p>
    <w:p w:rsidR="00F44353" w:rsidRPr="00F44353" w:rsidRDefault="00F44353" w:rsidP="000F3B9B">
      <w:pPr>
        <w:spacing w:after="0" w:line="360" w:lineRule="auto"/>
        <w:ind w:left="1440" w:hanging="1440"/>
        <w:jc w:val="both"/>
        <w:rPr>
          <w:rFonts w:ascii="Arial" w:hAnsi="Arial" w:cs="Arial"/>
          <w:b/>
          <w:i/>
          <w:sz w:val="24"/>
          <w:szCs w:val="24"/>
          <w:u w:val="single"/>
        </w:rPr>
      </w:pPr>
      <w:r>
        <w:rPr>
          <w:rFonts w:ascii="Arial" w:hAnsi="Arial" w:cs="Arial"/>
          <w:sz w:val="24"/>
          <w:szCs w:val="24"/>
          <w:u w:val="single"/>
        </w:rPr>
        <w:t>Introduction</w:t>
      </w:r>
    </w:p>
    <w:p w:rsidR="000F3B9B" w:rsidRPr="00BA5ADE" w:rsidRDefault="000F3B9B" w:rsidP="000F3B9B">
      <w:pPr>
        <w:spacing w:after="0" w:line="360" w:lineRule="auto"/>
        <w:rPr>
          <w:rFonts w:ascii="Arial" w:hAnsi="Arial" w:cs="Arial"/>
          <w:sz w:val="24"/>
          <w:szCs w:val="24"/>
        </w:rPr>
      </w:pPr>
    </w:p>
    <w:p w:rsidR="00F44353" w:rsidRDefault="000F3B9B" w:rsidP="000F3B9B">
      <w:pPr>
        <w:pStyle w:val="BodyText"/>
        <w:tabs>
          <w:tab w:val="left" w:pos="720"/>
          <w:tab w:val="left" w:pos="2268"/>
        </w:tabs>
        <w:spacing w:line="360" w:lineRule="auto"/>
        <w:jc w:val="both"/>
        <w:rPr>
          <w:rFonts w:ascii="Arial" w:hAnsi="Arial" w:cs="Arial"/>
        </w:rPr>
      </w:pPr>
      <w:r w:rsidRPr="00BA5ADE">
        <w:rPr>
          <w:rFonts w:ascii="Arial" w:hAnsi="Arial" w:cs="Arial"/>
        </w:rPr>
        <w:t>[1]</w:t>
      </w:r>
      <w:r w:rsidRPr="00BA5ADE">
        <w:rPr>
          <w:rFonts w:ascii="Arial" w:hAnsi="Arial" w:cs="Arial"/>
        </w:rPr>
        <w:tab/>
      </w:r>
      <w:r w:rsidR="0088070B">
        <w:rPr>
          <w:rFonts w:ascii="Arial" w:hAnsi="Arial" w:cs="Arial"/>
        </w:rPr>
        <w:t xml:space="preserve">This </w:t>
      </w:r>
      <w:r w:rsidR="00E1655B">
        <w:rPr>
          <w:rFonts w:ascii="Arial" w:hAnsi="Arial" w:cs="Arial"/>
        </w:rPr>
        <w:t xml:space="preserve">matter </w:t>
      </w:r>
      <w:r w:rsidR="0088070B">
        <w:rPr>
          <w:rFonts w:ascii="Arial" w:hAnsi="Arial" w:cs="Arial"/>
        </w:rPr>
        <w:t xml:space="preserve">comes before court as </w:t>
      </w:r>
      <w:r w:rsidR="009D1E28">
        <w:rPr>
          <w:rFonts w:ascii="Arial" w:hAnsi="Arial" w:cs="Arial"/>
        </w:rPr>
        <w:t xml:space="preserve">an </w:t>
      </w:r>
      <w:r w:rsidR="0088070B">
        <w:rPr>
          <w:rFonts w:ascii="Arial" w:hAnsi="Arial" w:cs="Arial"/>
        </w:rPr>
        <w:t xml:space="preserve">interlocutory application wherein the applicants seek to set aside </w:t>
      </w:r>
      <w:r w:rsidR="00E1655B">
        <w:rPr>
          <w:rFonts w:ascii="Arial" w:hAnsi="Arial" w:cs="Arial"/>
        </w:rPr>
        <w:t xml:space="preserve">as irregular the first respondent’s notice of application for forfeiture and supporting founding affidavit. </w:t>
      </w:r>
      <w:r w:rsidR="00F44353">
        <w:rPr>
          <w:rFonts w:ascii="Arial" w:hAnsi="Arial" w:cs="Arial"/>
        </w:rPr>
        <w:t>At the same time, the</w:t>
      </w:r>
      <w:r w:rsidR="009D1E28">
        <w:rPr>
          <w:rFonts w:ascii="Arial" w:hAnsi="Arial" w:cs="Arial"/>
        </w:rPr>
        <w:t xml:space="preserve"> court is confronted by an opposed condonation application</w:t>
      </w:r>
      <w:r w:rsidR="00F44353">
        <w:rPr>
          <w:rFonts w:ascii="Arial" w:hAnsi="Arial" w:cs="Arial"/>
        </w:rPr>
        <w:t>,</w:t>
      </w:r>
      <w:r w:rsidR="009D1E28">
        <w:rPr>
          <w:rFonts w:ascii="Arial" w:hAnsi="Arial" w:cs="Arial"/>
        </w:rPr>
        <w:t xml:space="preserve"> instituted by the second respondent wherein it seeks </w:t>
      </w:r>
      <w:r w:rsidR="00F44353">
        <w:rPr>
          <w:rFonts w:ascii="Arial" w:hAnsi="Arial" w:cs="Arial"/>
        </w:rPr>
        <w:t>leave to file its statutory</w:t>
      </w:r>
      <w:r w:rsidR="009D1E28">
        <w:rPr>
          <w:rFonts w:ascii="Arial" w:hAnsi="Arial" w:cs="Arial"/>
        </w:rPr>
        <w:t xml:space="preserve"> notice</w:t>
      </w:r>
      <w:r w:rsidR="00F44353">
        <w:rPr>
          <w:rFonts w:ascii="Arial" w:hAnsi="Arial" w:cs="Arial"/>
        </w:rPr>
        <w:t xml:space="preserve"> in terms of the Prevention of Organised Crime Act</w:t>
      </w:r>
      <w:r w:rsidR="00F44353">
        <w:rPr>
          <w:rStyle w:val="FootnoteReference"/>
          <w:rFonts w:ascii="Arial" w:hAnsi="Arial" w:cs="Arial"/>
        </w:rPr>
        <w:footnoteReference w:id="1"/>
      </w:r>
      <w:r w:rsidR="009D1E28">
        <w:rPr>
          <w:rFonts w:ascii="Arial" w:hAnsi="Arial" w:cs="Arial"/>
        </w:rPr>
        <w:t xml:space="preserve">. </w:t>
      </w:r>
    </w:p>
    <w:p w:rsidR="00F44353" w:rsidRDefault="00F44353" w:rsidP="000F3B9B">
      <w:pPr>
        <w:pStyle w:val="BodyText"/>
        <w:tabs>
          <w:tab w:val="left" w:pos="720"/>
          <w:tab w:val="left" w:pos="2268"/>
        </w:tabs>
        <w:spacing w:line="360" w:lineRule="auto"/>
        <w:jc w:val="both"/>
        <w:rPr>
          <w:rFonts w:ascii="Arial" w:hAnsi="Arial" w:cs="Arial"/>
        </w:rPr>
      </w:pPr>
    </w:p>
    <w:p w:rsidR="000F3B9B" w:rsidRDefault="00F44353" w:rsidP="000F3B9B">
      <w:pPr>
        <w:pStyle w:val="BodyText"/>
        <w:tabs>
          <w:tab w:val="left" w:pos="720"/>
          <w:tab w:val="left" w:pos="2268"/>
        </w:tabs>
        <w:spacing w:line="360" w:lineRule="auto"/>
        <w:jc w:val="both"/>
        <w:rPr>
          <w:rFonts w:ascii="Arial" w:hAnsi="Arial" w:cs="Arial"/>
        </w:rPr>
      </w:pPr>
      <w:r>
        <w:rPr>
          <w:rFonts w:ascii="Arial" w:hAnsi="Arial" w:cs="Arial"/>
        </w:rPr>
        <w:t>[2]</w:t>
      </w:r>
      <w:r>
        <w:rPr>
          <w:rFonts w:ascii="Arial" w:hAnsi="Arial" w:cs="Arial"/>
        </w:rPr>
        <w:tab/>
      </w:r>
      <w:r w:rsidR="00D66C70">
        <w:rPr>
          <w:rFonts w:ascii="Arial" w:hAnsi="Arial" w:cs="Arial"/>
        </w:rPr>
        <w:t xml:space="preserve">The nature of these </w:t>
      </w:r>
      <w:r w:rsidR="0088070B">
        <w:rPr>
          <w:rFonts w:ascii="Arial" w:hAnsi="Arial" w:cs="Arial"/>
        </w:rPr>
        <w:t>application</w:t>
      </w:r>
      <w:r>
        <w:rPr>
          <w:rFonts w:ascii="Arial" w:hAnsi="Arial" w:cs="Arial"/>
        </w:rPr>
        <w:t>s necessitates a reflection of</w:t>
      </w:r>
      <w:r w:rsidR="0088070B">
        <w:rPr>
          <w:rFonts w:ascii="Arial" w:hAnsi="Arial" w:cs="Arial"/>
        </w:rPr>
        <w:t xml:space="preserve"> the con</w:t>
      </w:r>
      <w:r>
        <w:rPr>
          <w:rFonts w:ascii="Arial" w:hAnsi="Arial" w:cs="Arial"/>
        </w:rPr>
        <w:t>text within which the issues giving rise to the</w:t>
      </w:r>
      <w:r w:rsidR="0088070B">
        <w:rPr>
          <w:rFonts w:ascii="Arial" w:hAnsi="Arial" w:cs="Arial"/>
        </w:rPr>
        <w:t xml:space="preserve"> application</w:t>
      </w:r>
      <w:r>
        <w:rPr>
          <w:rFonts w:ascii="Arial" w:hAnsi="Arial" w:cs="Arial"/>
        </w:rPr>
        <w:t>s in question arose</w:t>
      </w:r>
      <w:r w:rsidR="0088070B">
        <w:rPr>
          <w:rFonts w:ascii="Arial" w:hAnsi="Arial" w:cs="Arial"/>
        </w:rPr>
        <w:t>. I turn to a cursory overview of the salient aspects of this matter</w:t>
      </w:r>
      <w:r w:rsidR="00D342A5">
        <w:rPr>
          <w:rFonts w:ascii="Arial" w:hAnsi="Arial" w:cs="Arial"/>
        </w:rPr>
        <w:t xml:space="preserve"> presently</w:t>
      </w:r>
      <w:r w:rsidR="0088070B">
        <w:rPr>
          <w:rFonts w:ascii="Arial" w:hAnsi="Arial" w:cs="Arial"/>
        </w:rPr>
        <w:t>.</w:t>
      </w:r>
      <w:r w:rsidR="004E2FEA">
        <w:rPr>
          <w:rFonts w:ascii="Arial" w:hAnsi="Arial" w:cs="Arial"/>
        </w:rPr>
        <w:t xml:space="preserve"> </w:t>
      </w:r>
    </w:p>
    <w:p w:rsidR="0088070B" w:rsidRDefault="0088070B" w:rsidP="000F3B9B">
      <w:pPr>
        <w:pStyle w:val="BodyText"/>
        <w:tabs>
          <w:tab w:val="left" w:pos="720"/>
          <w:tab w:val="left" w:pos="2268"/>
        </w:tabs>
        <w:spacing w:line="360" w:lineRule="auto"/>
        <w:jc w:val="both"/>
        <w:rPr>
          <w:rFonts w:ascii="Arial" w:hAnsi="Arial" w:cs="Arial"/>
        </w:rPr>
      </w:pPr>
    </w:p>
    <w:p w:rsidR="0088070B" w:rsidRPr="00D342A5" w:rsidRDefault="00CF0FC5" w:rsidP="000F3B9B">
      <w:pPr>
        <w:pStyle w:val="BodyText"/>
        <w:tabs>
          <w:tab w:val="left" w:pos="720"/>
          <w:tab w:val="left" w:pos="2268"/>
        </w:tabs>
        <w:spacing w:line="360" w:lineRule="auto"/>
        <w:jc w:val="both"/>
        <w:rPr>
          <w:rFonts w:ascii="Arial" w:hAnsi="Arial" w:cs="Arial"/>
          <w:u w:val="single"/>
        </w:rPr>
      </w:pPr>
      <w:r w:rsidRPr="00D342A5">
        <w:rPr>
          <w:rFonts w:ascii="Arial" w:hAnsi="Arial" w:cs="Arial"/>
          <w:u w:val="single"/>
        </w:rPr>
        <w:t>Context of the application</w:t>
      </w:r>
    </w:p>
    <w:p w:rsidR="000F3B9B" w:rsidRPr="00BA5ADE" w:rsidRDefault="000F3B9B" w:rsidP="000F3B9B">
      <w:pPr>
        <w:spacing w:after="0" w:line="360" w:lineRule="auto"/>
        <w:jc w:val="both"/>
        <w:rPr>
          <w:rFonts w:ascii="Arial" w:hAnsi="Arial" w:cs="Arial"/>
          <w:sz w:val="24"/>
          <w:szCs w:val="24"/>
        </w:rPr>
      </w:pPr>
    </w:p>
    <w:p w:rsidR="0088070B" w:rsidRPr="006146CB" w:rsidRDefault="00D342A5" w:rsidP="0088070B">
      <w:pPr>
        <w:pStyle w:val="BodyText"/>
        <w:spacing w:line="360" w:lineRule="auto"/>
        <w:jc w:val="both"/>
        <w:rPr>
          <w:rFonts w:ascii="Arial" w:hAnsi="Arial" w:cs="Arial"/>
        </w:rPr>
      </w:pPr>
      <w:r>
        <w:rPr>
          <w:rFonts w:ascii="Arial" w:hAnsi="Arial" w:cs="Arial"/>
        </w:rPr>
        <w:t>[3</w:t>
      </w:r>
      <w:r w:rsidR="000F3B9B" w:rsidRPr="003A6F95">
        <w:rPr>
          <w:rFonts w:ascii="Arial" w:hAnsi="Arial" w:cs="Arial"/>
        </w:rPr>
        <w:t>]</w:t>
      </w:r>
      <w:r w:rsidR="000F3B9B" w:rsidRPr="003A6F95">
        <w:rPr>
          <w:rFonts w:ascii="Arial" w:hAnsi="Arial" w:cs="Arial"/>
        </w:rPr>
        <w:tab/>
      </w:r>
      <w:r w:rsidR="00575A7B">
        <w:rPr>
          <w:rFonts w:ascii="Arial" w:hAnsi="Arial" w:cs="Arial"/>
        </w:rPr>
        <w:t xml:space="preserve"> </w:t>
      </w:r>
      <w:r w:rsidR="0088070B">
        <w:rPr>
          <w:rFonts w:ascii="Arial" w:hAnsi="Arial" w:cs="Arial"/>
        </w:rPr>
        <w:t xml:space="preserve">By way of an urgent </w:t>
      </w:r>
      <w:r w:rsidR="0088070B" w:rsidRPr="0088070B">
        <w:rPr>
          <w:rFonts w:ascii="Arial" w:hAnsi="Arial" w:cs="Arial"/>
          <w:i/>
        </w:rPr>
        <w:t>ex parte</w:t>
      </w:r>
      <w:r w:rsidR="0088070B">
        <w:rPr>
          <w:rFonts w:ascii="Arial" w:hAnsi="Arial" w:cs="Arial"/>
        </w:rPr>
        <w:t xml:space="preserve"> application launched on 02 May 2018</w:t>
      </w:r>
      <w:r w:rsidR="00265408">
        <w:rPr>
          <w:rFonts w:ascii="Arial" w:hAnsi="Arial" w:cs="Arial"/>
        </w:rPr>
        <w:t xml:space="preserve"> by first respondent</w:t>
      </w:r>
      <w:r w:rsidR="00D66C70">
        <w:rPr>
          <w:rFonts w:ascii="Arial" w:hAnsi="Arial" w:cs="Arial"/>
        </w:rPr>
        <w:t xml:space="preserve"> (</w:t>
      </w:r>
      <w:r w:rsidR="00123716">
        <w:rPr>
          <w:rFonts w:ascii="Arial" w:hAnsi="Arial" w:cs="Arial"/>
        </w:rPr>
        <w:t xml:space="preserve">hereinafter referred to as the </w:t>
      </w:r>
      <w:r w:rsidR="00265408">
        <w:rPr>
          <w:rFonts w:ascii="Arial" w:hAnsi="Arial" w:cs="Arial"/>
        </w:rPr>
        <w:t>PG</w:t>
      </w:r>
      <w:r w:rsidR="00123716">
        <w:rPr>
          <w:rFonts w:ascii="Arial" w:hAnsi="Arial" w:cs="Arial"/>
        </w:rPr>
        <w:t>)</w:t>
      </w:r>
      <w:r w:rsidR="00D66C70">
        <w:rPr>
          <w:rFonts w:ascii="Arial" w:hAnsi="Arial" w:cs="Arial"/>
        </w:rPr>
        <w:t>, in terms of s</w:t>
      </w:r>
      <w:r w:rsidR="00265408">
        <w:rPr>
          <w:rFonts w:ascii="Arial" w:hAnsi="Arial" w:cs="Arial"/>
        </w:rPr>
        <w:t xml:space="preserve"> 51(1) of the Prevention of Organized Crime Act (Act 29 of 2004, hereinafter</w:t>
      </w:r>
      <w:r w:rsidR="00D66C70">
        <w:rPr>
          <w:rFonts w:ascii="Arial" w:hAnsi="Arial" w:cs="Arial"/>
        </w:rPr>
        <w:t xml:space="preserve"> referred to as POCA), a s</w:t>
      </w:r>
      <w:r w:rsidR="00265408">
        <w:rPr>
          <w:rFonts w:ascii="Arial" w:hAnsi="Arial" w:cs="Arial"/>
        </w:rPr>
        <w:t xml:space="preserve"> 51(2) preservation order </w:t>
      </w:r>
      <w:r>
        <w:rPr>
          <w:rFonts w:ascii="Arial" w:hAnsi="Arial" w:cs="Arial"/>
        </w:rPr>
        <w:t>was granted by this court. The said order was</w:t>
      </w:r>
      <w:r w:rsidR="00123716">
        <w:rPr>
          <w:rFonts w:ascii="Arial" w:hAnsi="Arial" w:cs="Arial"/>
        </w:rPr>
        <w:t xml:space="preserve"> </w:t>
      </w:r>
      <w:r>
        <w:rPr>
          <w:rFonts w:ascii="Arial" w:hAnsi="Arial" w:cs="Arial"/>
        </w:rPr>
        <w:t>in respect of</w:t>
      </w:r>
      <w:r w:rsidR="00265408">
        <w:rPr>
          <w:rFonts w:ascii="Arial" w:hAnsi="Arial" w:cs="Arial"/>
        </w:rPr>
        <w:t xml:space="preserve"> </w:t>
      </w:r>
      <w:r w:rsidR="0088070B">
        <w:rPr>
          <w:rFonts w:ascii="Arial" w:hAnsi="Arial" w:cs="Arial"/>
        </w:rPr>
        <w:t xml:space="preserve">the positive balance in Capricorn Asset Management Investment Entity number 13849639, and the positive balance in the Bank Windhoek account number NDP-1014291703 held in the </w:t>
      </w:r>
      <w:r w:rsidR="00123716">
        <w:rPr>
          <w:rFonts w:ascii="Arial" w:hAnsi="Arial" w:cs="Arial"/>
        </w:rPr>
        <w:t>name of first applicant</w:t>
      </w:r>
      <w:r w:rsidR="0088070B">
        <w:rPr>
          <w:rFonts w:ascii="Arial" w:hAnsi="Arial" w:cs="Arial"/>
        </w:rPr>
        <w:t xml:space="preserve">. </w:t>
      </w:r>
    </w:p>
    <w:p w:rsidR="00D82365" w:rsidRPr="006146CB" w:rsidRDefault="00D82365" w:rsidP="0088070B">
      <w:pPr>
        <w:pStyle w:val="BodyText"/>
        <w:spacing w:line="360" w:lineRule="auto"/>
        <w:jc w:val="both"/>
        <w:rPr>
          <w:rFonts w:ascii="Arial" w:hAnsi="Arial" w:cs="Arial"/>
        </w:rPr>
      </w:pPr>
    </w:p>
    <w:p w:rsidR="0088070B" w:rsidRPr="006146CB" w:rsidRDefault="00D342A5" w:rsidP="0088070B">
      <w:pPr>
        <w:pStyle w:val="BodyText"/>
        <w:spacing w:line="360" w:lineRule="auto"/>
        <w:jc w:val="both"/>
        <w:rPr>
          <w:rFonts w:ascii="Arial" w:hAnsi="Arial" w:cs="Arial"/>
        </w:rPr>
      </w:pPr>
      <w:r>
        <w:rPr>
          <w:rFonts w:ascii="Arial" w:hAnsi="Arial" w:cs="Arial"/>
        </w:rPr>
        <w:t>[4</w:t>
      </w:r>
      <w:r w:rsidR="0088070B" w:rsidRPr="006146CB">
        <w:rPr>
          <w:rFonts w:ascii="Arial" w:hAnsi="Arial" w:cs="Arial"/>
        </w:rPr>
        <w:t>]</w:t>
      </w:r>
      <w:r w:rsidR="0088070B" w:rsidRPr="006146CB">
        <w:rPr>
          <w:rFonts w:ascii="Arial" w:hAnsi="Arial" w:cs="Arial"/>
        </w:rPr>
        <w:tab/>
      </w:r>
      <w:r w:rsidR="00123716">
        <w:rPr>
          <w:rFonts w:ascii="Arial" w:hAnsi="Arial" w:cs="Arial"/>
        </w:rPr>
        <w:t>The PG</w:t>
      </w:r>
      <w:r w:rsidR="0088070B">
        <w:rPr>
          <w:rFonts w:ascii="Arial" w:hAnsi="Arial" w:cs="Arial"/>
        </w:rPr>
        <w:t xml:space="preserve"> sought the preservation of property order on the premise that there are reasonable grounds to believe that the properties sought to be preserved are the proceeds of unlawful activities, namely – fraud; contravention of the provisions of the Public Procurement Act 15 of 2015; offences in terms of the Public Procurement Act 15 of 2015; and a contravention of the provisions of the Business and Intellectual Property Authority Act 8 of 2016.; contravention of the provisions of the State Finance Act 31 of 1991; offences in terms of the Anti – Corruption Act 8 of 2003; and money laundering offe</w:t>
      </w:r>
      <w:r w:rsidR="00D66C70">
        <w:rPr>
          <w:rFonts w:ascii="Arial" w:hAnsi="Arial" w:cs="Arial"/>
        </w:rPr>
        <w:t>nces in contravention of s</w:t>
      </w:r>
      <w:r w:rsidR="0088070B">
        <w:rPr>
          <w:rFonts w:ascii="Arial" w:hAnsi="Arial" w:cs="Arial"/>
        </w:rPr>
        <w:t xml:space="preserve"> 6 of </w:t>
      </w:r>
      <w:r w:rsidR="00265408">
        <w:rPr>
          <w:rFonts w:ascii="Arial" w:hAnsi="Arial" w:cs="Arial"/>
        </w:rPr>
        <w:t>POCA.</w:t>
      </w:r>
      <w:r w:rsidR="0088070B">
        <w:rPr>
          <w:rFonts w:ascii="Arial" w:hAnsi="Arial" w:cs="Arial"/>
        </w:rPr>
        <w:t xml:space="preserve"> </w:t>
      </w:r>
    </w:p>
    <w:p w:rsidR="0088070B" w:rsidRPr="006146CB" w:rsidRDefault="0088070B" w:rsidP="0088070B">
      <w:pPr>
        <w:pStyle w:val="BodyText"/>
        <w:spacing w:line="360" w:lineRule="auto"/>
        <w:jc w:val="both"/>
        <w:rPr>
          <w:rFonts w:ascii="Arial" w:hAnsi="Arial" w:cs="Arial"/>
        </w:rPr>
      </w:pPr>
    </w:p>
    <w:p w:rsidR="0088070B" w:rsidRDefault="00515A28" w:rsidP="0088070B">
      <w:pPr>
        <w:pStyle w:val="BodyText"/>
        <w:spacing w:line="360" w:lineRule="auto"/>
        <w:jc w:val="both"/>
        <w:rPr>
          <w:rFonts w:ascii="Arial" w:hAnsi="Arial" w:cs="Arial"/>
        </w:rPr>
      </w:pPr>
      <w:r>
        <w:rPr>
          <w:rFonts w:ascii="Arial" w:hAnsi="Arial" w:cs="Arial"/>
        </w:rPr>
        <w:lastRenderedPageBreak/>
        <w:t>[5</w:t>
      </w:r>
      <w:r w:rsidR="0088070B" w:rsidRPr="006146CB">
        <w:rPr>
          <w:rFonts w:ascii="Arial" w:hAnsi="Arial" w:cs="Arial"/>
        </w:rPr>
        <w:t>]</w:t>
      </w:r>
      <w:r w:rsidR="0088070B" w:rsidRPr="006146CB">
        <w:rPr>
          <w:rFonts w:ascii="Arial" w:hAnsi="Arial" w:cs="Arial"/>
        </w:rPr>
        <w:tab/>
      </w:r>
      <w:r w:rsidR="0088070B">
        <w:rPr>
          <w:rFonts w:ascii="Arial" w:hAnsi="Arial" w:cs="Arial"/>
        </w:rPr>
        <w:t>On 08 May 2018</w:t>
      </w:r>
      <w:r w:rsidR="00D342A5">
        <w:rPr>
          <w:rFonts w:ascii="Arial" w:hAnsi="Arial" w:cs="Arial"/>
        </w:rPr>
        <w:t>,</w:t>
      </w:r>
      <w:r w:rsidR="0088070B">
        <w:rPr>
          <w:rFonts w:ascii="Arial" w:hAnsi="Arial" w:cs="Arial"/>
        </w:rPr>
        <w:t xml:space="preserve"> the applicants were served with the preservation of property order</w:t>
      </w:r>
      <w:r w:rsidR="00265408">
        <w:rPr>
          <w:rFonts w:ascii="Arial" w:hAnsi="Arial" w:cs="Arial"/>
        </w:rPr>
        <w:t>,</w:t>
      </w:r>
      <w:r w:rsidR="0088070B">
        <w:rPr>
          <w:rFonts w:ascii="Arial" w:hAnsi="Arial" w:cs="Arial"/>
        </w:rPr>
        <w:t xml:space="preserve"> </w:t>
      </w:r>
      <w:r w:rsidR="00265408">
        <w:rPr>
          <w:rFonts w:ascii="Arial" w:hAnsi="Arial" w:cs="Arial"/>
        </w:rPr>
        <w:t xml:space="preserve">which became opposed </w:t>
      </w:r>
      <w:r w:rsidR="0088070B">
        <w:rPr>
          <w:rFonts w:ascii="Arial" w:hAnsi="Arial" w:cs="Arial"/>
        </w:rPr>
        <w:t xml:space="preserve">on 29 May 2018. </w:t>
      </w:r>
      <w:r w:rsidR="00D342A5">
        <w:rPr>
          <w:rFonts w:ascii="Arial" w:hAnsi="Arial" w:cs="Arial"/>
        </w:rPr>
        <w:t>On</w:t>
      </w:r>
      <w:r w:rsidR="00E05BD4">
        <w:rPr>
          <w:rFonts w:ascii="Arial" w:hAnsi="Arial" w:cs="Arial"/>
        </w:rPr>
        <w:t xml:space="preserve"> 29 May 2018 the applicants indicated their intention to oppose the making of a forfeiture order, and further indicated their intention to apply for the exclusion of their interest in the </w:t>
      </w:r>
      <w:r w:rsidR="008363F4">
        <w:rPr>
          <w:rFonts w:ascii="Arial" w:hAnsi="Arial" w:cs="Arial"/>
        </w:rPr>
        <w:t>property subject to preservation</w:t>
      </w:r>
      <w:r w:rsidR="00E05BD4">
        <w:rPr>
          <w:rFonts w:ascii="Arial" w:hAnsi="Arial" w:cs="Arial"/>
        </w:rPr>
        <w:t xml:space="preserve">. </w:t>
      </w:r>
      <w:r w:rsidR="00265408">
        <w:rPr>
          <w:rFonts w:ascii="Arial" w:hAnsi="Arial" w:cs="Arial"/>
        </w:rPr>
        <w:t>Thereafter</w:t>
      </w:r>
      <w:r w:rsidR="00E05BD4">
        <w:rPr>
          <w:rFonts w:ascii="Arial" w:hAnsi="Arial" w:cs="Arial"/>
        </w:rPr>
        <w:t>,</w:t>
      </w:r>
      <w:r w:rsidR="00265408">
        <w:rPr>
          <w:rFonts w:ascii="Arial" w:hAnsi="Arial" w:cs="Arial"/>
        </w:rPr>
        <w:t xml:space="preserve"> o</w:t>
      </w:r>
      <w:r w:rsidR="0088070B">
        <w:rPr>
          <w:rFonts w:ascii="Arial" w:hAnsi="Arial" w:cs="Arial"/>
        </w:rPr>
        <w:t>n 12 Septemb</w:t>
      </w:r>
      <w:r w:rsidR="00265408">
        <w:rPr>
          <w:rFonts w:ascii="Arial" w:hAnsi="Arial" w:cs="Arial"/>
        </w:rPr>
        <w:t>er 2018</w:t>
      </w:r>
      <w:r w:rsidR="00D342A5">
        <w:rPr>
          <w:rFonts w:ascii="Arial" w:hAnsi="Arial" w:cs="Arial"/>
        </w:rPr>
        <w:t>,</w:t>
      </w:r>
      <w:r w:rsidR="00265408">
        <w:rPr>
          <w:rFonts w:ascii="Arial" w:hAnsi="Arial" w:cs="Arial"/>
        </w:rPr>
        <w:t xml:space="preserve"> the PG</w:t>
      </w:r>
      <w:r w:rsidR="0088070B">
        <w:rPr>
          <w:rFonts w:ascii="Arial" w:hAnsi="Arial" w:cs="Arial"/>
        </w:rPr>
        <w:t xml:space="preserve"> filed an</w:t>
      </w:r>
      <w:r w:rsidR="00D66C70">
        <w:rPr>
          <w:rFonts w:ascii="Arial" w:hAnsi="Arial" w:cs="Arial"/>
        </w:rPr>
        <w:t xml:space="preserve"> application in terms of s</w:t>
      </w:r>
      <w:r w:rsidR="0088070B">
        <w:rPr>
          <w:rFonts w:ascii="Arial" w:hAnsi="Arial" w:cs="Arial"/>
        </w:rPr>
        <w:t xml:space="preserve"> 59(1) </w:t>
      </w:r>
      <w:r w:rsidR="00265408">
        <w:rPr>
          <w:rFonts w:ascii="Arial" w:hAnsi="Arial" w:cs="Arial"/>
        </w:rPr>
        <w:t xml:space="preserve">of POCA, </w:t>
      </w:r>
      <w:r w:rsidR="0088070B">
        <w:rPr>
          <w:rFonts w:ascii="Arial" w:hAnsi="Arial" w:cs="Arial"/>
        </w:rPr>
        <w:t>seeking a forfeiture order against t</w:t>
      </w:r>
      <w:r w:rsidR="008363F4">
        <w:rPr>
          <w:rFonts w:ascii="Arial" w:hAnsi="Arial" w:cs="Arial"/>
        </w:rPr>
        <w:t>he preserved property</w:t>
      </w:r>
      <w:r w:rsidR="00E05BD4">
        <w:rPr>
          <w:rFonts w:ascii="Arial" w:hAnsi="Arial" w:cs="Arial"/>
        </w:rPr>
        <w:t>. The 12 September 2018 notice of application</w:t>
      </w:r>
      <w:r w:rsidR="00D342A5">
        <w:rPr>
          <w:rFonts w:ascii="Arial" w:hAnsi="Arial" w:cs="Arial"/>
        </w:rPr>
        <w:t>,</w:t>
      </w:r>
      <w:r w:rsidR="00E05BD4">
        <w:rPr>
          <w:rFonts w:ascii="Arial" w:hAnsi="Arial" w:cs="Arial"/>
        </w:rPr>
        <w:t xml:space="preserve"> was supported by a founding affidavit by the PG, some confirmatory affidavits, and incorporated by reference</w:t>
      </w:r>
      <w:r w:rsidR="00780554">
        <w:rPr>
          <w:rFonts w:ascii="Arial" w:hAnsi="Arial" w:cs="Arial"/>
        </w:rPr>
        <w:t>,</w:t>
      </w:r>
      <w:r w:rsidR="00E05BD4">
        <w:rPr>
          <w:rFonts w:ascii="Arial" w:hAnsi="Arial" w:cs="Arial"/>
        </w:rPr>
        <w:t xml:space="preserve"> the papers initially filed in support of the preservation application.</w:t>
      </w:r>
    </w:p>
    <w:p w:rsidR="00D82365" w:rsidRDefault="00D82365" w:rsidP="0088070B">
      <w:pPr>
        <w:pStyle w:val="BodyText"/>
        <w:spacing w:line="360" w:lineRule="auto"/>
        <w:jc w:val="both"/>
        <w:rPr>
          <w:rFonts w:ascii="Arial" w:hAnsi="Arial" w:cs="Arial"/>
        </w:rPr>
      </w:pPr>
    </w:p>
    <w:p w:rsidR="00D342A5" w:rsidRDefault="00515A28" w:rsidP="0088070B">
      <w:pPr>
        <w:pStyle w:val="BodyText"/>
        <w:spacing w:line="360" w:lineRule="auto"/>
        <w:jc w:val="both"/>
        <w:rPr>
          <w:rFonts w:ascii="Arial" w:hAnsi="Arial" w:cs="Arial"/>
        </w:rPr>
      </w:pPr>
      <w:r>
        <w:rPr>
          <w:rFonts w:ascii="Arial" w:hAnsi="Arial" w:cs="Arial"/>
        </w:rPr>
        <w:t>[6</w:t>
      </w:r>
      <w:r w:rsidR="00E05BD4">
        <w:rPr>
          <w:rFonts w:ascii="Arial" w:hAnsi="Arial" w:cs="Arial"/>
        </w:rPr>
        <w:t>]</w:t>
      </w:r>
      <w:r w:rsidR="00E05BD4">
        <w:rPr>
          <w:rFonts w:ascii="Arial" w:hAnsi="Arial" w:cs="Arial"/>
        </w:rPr>
        <w:tab/>
        <w:t>The 12 September 2018 application by the PG called upon the applicants (as respondents therein)</w:t>
      </w:r>
      <w:r w:rsidR="00D342A5">
        <w:rPr>
          <w:rFonts w:ascii="Arial" w:hAnsi="Arial" w:cs="Arial"/>
        </w:rPr>
        <w:t>,</w:t>
      </w:r>
      <w:r w:rsidR="00E05BD4">
        <w:rPr>
          <w:rFonts w:ascii="Arial" w:hAnsi="Arial" w:cs="Arial"/>
        </w:rPr>
        <w:t xml:space="preserve"> to indicate their intention to oppose the forfeiture application within 14 days from date of service of the application, and to serve and file affidavits in opposition within the time periods allowed by the rules of this court. It further indicated that </w:t>
      </w:r>
      <w:r w:rsidR="00D342A5">
        <w:rPr>
          <w:rFonts w:ascii="Arial" w:hAnsi="Arial" w:cs="Arial"/>
        </w:rPr>
        <w:t>in the absence of</w:t>
      </w:r>
      <w:r w:rsidR="00E05BD4">
        <w:rPr>
          <w:rFonts w:ascii="Arial" w:hAnsi="Arial" w:cs="Arial"/>
        </w:rPr>
        <w:t xml:space="preserve"> a notice of intention to oppose</w:t>
      </w:r>
      <w:r w:rsidR="00D342A5">
        <w:rPr>
          <w:rFonts w:ascii="Arial" w:hAnsi="Arial" w:cs="Arial"/>
        </w:rPr>
        <w:t>,</w:t>
      </w:r>
      <w:r w:rsidR="00E05BD4">
        <w:rPr>
          <w:rFonts w:ascii="Arial" w:hAnsi="Arial" w:cs="Arial"/>
        </w:rPr>
        <w:t xml:space="preserve"> the app</w:t>
      </w:r>
      <w:r w:rsidR="008363F4">
        <w:rPr>
          <w:rFonts w:ascii="Arial" w:hAnsi="Arial" w:cs="Arial"/>
        </w:rPr>
        <w:t>lication would be heard</w:t>
      </w:r>
      <w:r w:rsidR="00E05BD4">
        <w:rPr>
          <w:rFonts w:ascii="Arial" w:hAnsi="Arial" w:cs="Arial"/>
        </w:rPr>
        <w:t xml:space="preserve"> on 03 October 2018.</w:t>
      </w:r>
    </w:p>
    <w:p w:rsidR="00D342A5" w:rsidRDefault="00D342A5" w:rsidP="0088070B">
      <w:pPr>
        <w:pStyle w:val="BodyText"/>
        <w:spacing w:line="360" w:lineRule="auto"/>
        <w:jc w:val="both"/>
        <w:rPr>
          <w:rFonts w:ascii="Arial" w:hAnsi="Arial" w:cs="Arial"/>
        </w:rPr>
      </w:pPr>
    </w:p>
    <w:p w:rsidR="00E05BD4" w:rsidRDefault="00515A28" w:rsidP="0088070B">
      <w:pPr>
        <w:pStyle w:val="BodyText"/>
        <w:spacing w:line="360" w:lineRule="auto"/>
        <w:jc w:val="both"/>
        <w:rPr>
          <w:rFonts w:ascii="Arial" w:hAnsi="Arial" w:cs="Arial"/>
        </w:rPr>
      </w:pPr>
      <w:r>
        <w:rPr>
          <w:rFonts w:ascii="Arial" w:hAnsi="Arial" w:cs="Arial"/>
        </w:rPr>
        <w:t>[7</w:t>
      </w:r>
      <w:r w:rsidR="00D342A5">
        <w:rPr>
          <w:rFonts w:ascii="Arial" w:hAnsi="Arial" w:cs="Arial"/>
        </w:rPr>
        <w:t>]</w:t>
      </w:r>
      <w:r w:rsidR="00D342A5">
        <w:rPr>
          <w:rFonts w:ascii="Arial" w:hAnsi="Arial" w:cs="Arial"/>
        </w:rPr>
        <w:tab/>
      </w:r>
      <w:r w:rsidR="00CF0FC5">
        <w:rPr>
          <w:rFonts w:ascii="Arial" w:hAnsi="Arial" w:cs="Arial"/>
        </w:rPr>
        <w:t xml:space="preserve">The set-down date was subsequently vacated in consequence of a so-called one-sided status report filed by the PG wherein, amongst others, proposals regulating the filing of further papers were made. </w:t>
      </w:r>
      <w:r w:rsidR="00D342A5">
        <w:rPr>
          <w:rFonts w:ascii="Arial" w:hAnsi="Arial" w:cs="Arial"/>
        </w:rPr>
        <w:t>The applicants’ absence in par</w:t>
      </w:r>
      <w:r w:rsidR="00DA085C">
        <w:rPr>
          <w:rFonts w:ascii="Arial" w:hAnsi="Arial" w:cs="Arial"/>
        </w:rPr>
        <w:t>taking in these proposals regulating the further conduct of t</w:t>
      </w:r>
      <w:r w:rsidR="00D342A5">
        <w:rPr>
          <w:rFonts w:ascii="Arial" w:hAnsi="Arial" w:cs="Arial"/>
        </w:rPr>
        <w:t>he matter metamorphosed into a r</w:t>
      </w:r>
      <w:r w:rsidR="00DA085C">
        <w:rPr>
          <w:rFonts w:ascii="Arial" w:hAnsi="Arial" w:cs="Arial"/>
        </w:rPr>
        <w:t xml:space="preserve">ule 32(10) report, setting the stage for the present interlocutory application.  </w:t>
      </w:r>
    </w:p>
    <w:p w:rsidR="00D82365" w:rsidRDefault="00D82365" w:rsidP="0088070B">
      <w:pPr>
        <w:pStyle w:val="BodyText"/>
        <w:spacing w:line="360" w:lineRule="auto"/>
        <w:jc w:val="both"/>
        <w:rPr>
          <w:rFonts w:ascii="Arial" w:hAnsi="Arial" w:cs="Arial"/>
        </w:rPr>
      </w:pPr>
    </w:p>
    <w:p w:rsidR="00E05BD4" w:rsidRDefault="00515A28" w:rsidP="0088070B">
      <w:pPr>
        <w:pStyle w:val="BodyText"/>
        <w:spacing w:line="360" w:lineRule="auto"/>
        <w:jc w:val="both"/>
        <w:rPr>
          <w:rFonts w:ascii="Arial" w:hAnsi="Arial" w:cs="Arial"/>
        </w:rPr>
      </w:pPr>
      <w:r>
        <w:rPr>
          <w:rFonts w:ascii="Arial" w:hAnsi="Arial" w:cs="Arial"/>
        </w:rPr>
        <w:t>[8</w:t>
      </w:r>
      <w:r w:rsidR="00E05BD4">
        <w:rPr>
          <w:rFonts w:ascii="Arial" w:hAnsi="Arial" w:cs="Arial"/>
        </w:rPr>
        <w:t>]</w:t>
      </w:r>
      <w:r w:rsidR="00E05BD4">
        <w:rPr>
          <w:rFonts w:ascii="Arial" w:hAnsi="Arial" w:cs="Arial"/>
        </w:rPr>
        <w:tab/>
      </w:r>
      <w:r w:rsidR="00D342A5">
        <w:rPr>
          <w:rFonts w:ascii="Arial" w:hAnsi="Arial" w:cs="Arial"/>
        </w:rPr>
        <w:t>Following compliance with r</w:t>
      </w:r>
      <w:r w:rsidR="00DA085C">
        <w:rPr>
          <w:rFonts w:ascii="Arial" w:hAnsi="Arial" w:cs="Arial"/>
        </w:rPr>
        <w:t>ule 32(9) and (10) procedures, including subsequent directions issued to the parties, the applicants o</w:t>
      </w:r>
      <w:r w:rsidR="008363F4">
        <w:rPr>
          <w:rFonts w:ascii="Arial" w:hAnsi="Arial" w:cs="Arial"/>
        </w:rPr>
        <w:t>n 19 O</w:t>
      </w:r>
      <w:r w:rsidR="00DA085C">
        <w:rPr>
          <w:rFonts w:ascii="Arial" w:hAnsi="Arial" w:cs="Arial"/>
        </w:rPr>
        <w:t xml:space="preserve">ctober 2018 </w:t>
      </w:r>
      <w:r w:rsidR="008342FA">
        <w:rPr>
          <w:rFonts w:ascii="Arial" w:hAnsi="Arial" w:cs="Arial"/>
        </w:rPr>
        <w:t>filed</w:t>
      </w:r>
      <w:r w:rsidR="00DA085C">
        <w:rPr>
          <w:rFonts w:ascii="Arial" w:hAnsi="Arial" w:cs="Arial"/>
        </w:rPr>
        <w:t xml:space="preserve"> their rule 61 </w:t>
      </w:r>
      <w:r w:rsidR="004B6695">
        <w:rPr>
          <w:rFonts w:ascii="Arial" w:hAnsi="Arial" w:cs="Arial"/>
        </w:rPr>
        <w:t xml:space="preserve">notice </w:t>
      </w:r>
      <w:r w:rsidR="008342FA">
        <w:rPr>
          <w:rFonts w:ascii="Arial" w:hAnsi="Arial" w:cs="Arial"/>
        </w:rPr>
        <w:t xml:space="preserve">wherein they </w:t>
      </w:r>
      <w:r w:rsidR="00E1655B">
        <w:rPr>
          <w:rFonts w:ascii="Arial" w:hAnsi="Arial" w:cs="Arial"/>
        </w:rPr>
        <w:t>s</w:t>
      </w:r>
      <w:r w:rsidR="005F675E">
        <w:rPr>
          <w:rFonts w:ascii="Arial" w:hAnsi="Arial" w:cs="Arial"/>
        </w:rPr>
        <w:t>ought</w:t>
      </w:r>
      <w:r w:rsidR="00E1655B">
        <w:rPr>
          <w:rFonts w:ascii="Arial" w:hAnsi="Arial" w:cs="Arial"/>
        </w:rPr>
        <w:t xml:space="preserve"> to have the PG’s </w:t>
      </w:r>
      <w:r w:rsidR="005F675E">
        <w:rPr>
          <w:rFonts w:ascii="Arial" w:hAnsi="Arial" w:cs="Arial"/>
        </w:rPr>
        <w:t>notice of application and founding affidavit</w:t>
      </w:r>
      <w:r w:rsidR="004B6695">
        <w:rPr>
          <w:rFonts w:ascii="Arial" w:hAnsi="Arial" w:cs="Arial"/>
        </w:rPr>
        <w:t xml:space="preserve"> set aside as an irregular step</w:t>
      </w:r>
      <w:r w:rsidR="00E1655B">
        <w:rPr>
          <w:rFonts w:ascii="Arial" w:hAnsi="Arial" w:cs="Arial"/>
        </w:rPr>
        <w:t xml:space="preserve">. </w:t>
      </w:r>
      <w:r w:rsidR="00CF0FC5">
        <w:rPr>
          <w:rFonts w:ascii="Arial" w:hAnsi="Arial" w:cs="Arial"/>
        </w:rPr>
        <w:t>It is within this context that the parties are presently before court.</w:t>
      </w:r>
    </w:p>
    <w:p w:rsidR="00CF0FC5" w:rsidRDefault="00CF0FC5" w:rsidP="0088070B">
      <w:pPr>
        <w:pStyle w:val="BodyText"/>
        <w:spacing w:line="360" w:lineRule="auto"/>
        <w:jc w:val="both"/>
        <w:rPr>
          <w:rFonts w:ascii="Arial" w:hAnsi="Arial" w:cs="Arial"/>
        </w:rPr>
      </w:pPr>
    </w:p>
    <w:p w:rsidR="00CF0FC5" w:rsidRPr="00D342A5" w:rsidRDefault="00D342A5" w:rsidP="00CF0FC5">
      <w:pPr>
        <w:pStyle w:val="BodyText"/>
        <w:tabs>
          <w:tab w:val="left" w:pos="720"/>
          <w:tab w:val="left" w:pos="2268"/>
        </w:tabs>
        <w:spacing w:line="360" w:lineRule="auto"/>
        <w:jc w:val="both"/>
        <w:rPr>
          <w:rFonts w:ascii="Arial" w:hAnsi="Arial" w:cs="Arial"/>
        </w:rPr>
      </w:pPr>
      <w:r>
        <w:rPr>
          <w:rFonts w:ascii="Arial" w:hAnsi="Arial" w:cs="Arial"/>
          <w:u w:val="single"/>
        </w:rPr>
        <w:t>Issues for determination</w:t>
      </w:r>
    </w:p>
    <w:p w:rsidR="006E04DC" w:rsidRDefault="006E04DC"/>
    <w:p w:rsidR="0071790A" w:rsidRDefault="00515A28" w:rsidP="008628D4">
      <w:pPr>
        <w:spacing w:line="360" w:lineRule="auto"/>
        <w:jc w:val="both"/>
        <w:rPr>
          <w:rFonts w:ascii="Arial" w:hAnsi="Arial" w:cs="Arial"/>
          <w:sz w:val="24"/>
          <w:szCs w:val="24"/>
        </w:rPr>
      </w:pPr>
      <w:r>
        <w:rPr>
          <w:rFonts w:ascii="Arial" w:hAnsi="Arial" w:cs="Arial"/>
          <w:sz w:val="24"/>
          <w:szCs w:val="24"/>
        </w:rPr>
        <w:t>[9</w:t>
      </w:r>
      <w:r w:rsidR="00CF0FC5" w:rsidRPr="00CF0FC5">
        <w:rPr>
          <w:rFonts w:ascii="Arial" w:hAnsi="Arial" w:cs="Arial"/>
          <w:sz w:val="24"/>
          <w:szCs w:val="24"/>
        </w:rPr>
        <w:t>]</w:t>
      </w:r>
      <w:r w:rsidR="00CF0FC5" w:rsidRPr="00CF0FC5">
        <w:rPr>
          <w:rFonts w:ascii="Arial" w:hAnsi="Arial" w:cs="Arial"/>
          <w:sz w:val="24"/>
          <w:szCs w:val="24"/>
        </w:rPr>
        <w:tab/>
      </w:r>
      <w:r w:rsidR="00D342A5">
        <w:rPr>
          <w:rFonts w:ascii="Arial" w:hAnsi="Arial" w:cs="Arial"/>
          <w:sz w:val="24"/>
          <w:szCs w:val="24"/>
        </w:rPr>
        <w:t>The following issues fall</w:t>
      </w:r>
      <w:r w:rsidR="0071790A">
        <w:rPr>
          <w:rFonts w:ascii="Arial" w:hAnsi="Arial" w:cs="Arial"/>
          <w:sz w:val="24"/>
          <w:szCs w:val="24"/>
        </w:rPr>
        <w:t xml:space="preserve"> for determination:</w:t>
      </w:r>
    </w:p>
    <w:p w:rsidR="00CF0FC5" w:rsidRDefault="00780554" w:rsidP="00515A28">
      <w:pPr>
        <w:spacing w:line="360" w:lineRule="auto"/>
        <w:jc w:val="both"/>
        <w:rPr>
          <w:rFonts w:ascii="Arial" w:hAnsi="Arial" w:cs="Arial"/>
          <w:sz w:val="24"/>
          <w:szCs w:val="24"/>
        </w:rPr>
      </w:pPr>
      <w:r>
        <w:rPr>
          <w:rFonts w:ascii="Arial" w:hAnsi="Arial" w:cs="Arial"/>
          <w:sz w:val="24"/>
          <w:szCs w:val="24"/>
        </w:rPr>
        <w:t>(a)</w:t>
      </w:r>
      <w:r w:rsidR="0071790A">
        <w:rPr>
          <w:rFonts w:ascii="Arial" w:hAnsi="Arial" w:cs="Arial"/>
          <w:sz w:val="24"/>
          <w:szCs w:val="24"/>
        </w:rPr>
        <w:tab/>
        <w:t>Whether the PG’s notice of motion calling upon the applicants to indicate their intention to oppose the forfeiture application constitute an irregular step within the meaning of rule 61, and</w:t>
      </w:r>
    </w:p>
    <w:p w:rsidR="008628D4" w:rsidRDefault="00780554" w:rsidP="00515A28">
      <w:pPr>
        <w:spacing w:line="360" w:lineRule="auto"/>
        <w:jc w:val="both"/>
        <w:rPr>
          <w:rFonts w:ascii="Arial" w:hAnsi="Arial" w:cs="Arial"/>
          <w:sz w:val="24"/>
          <w:szCs w:val="24"/>
        </w:rPr>
      </w:pPr>
      <w:r>
        <w:rPr>
          <w:rFonts w:ascii="Arial" w:hAnsi="Arial" w:cs="Arial"/>
          <w:sz w:val="24"/>
          <w:szCs w:val="24"/>
        </w:rPr>
        <w:lastRenderedPageBreak/>
        <w:t>(b)</w:t>
      </w:r>
      <w:r w:rsidR="0071790A">
        <w:rPr>
          <w:rFonts w:ascii="Arial" w:hAnsi="Arial" w:cs="Arial"/>
          <w:sz w:val="24"/>
          <w:szCs w:val="24"/>
        </w:rPr>
        <w:tab/>
        <w:t xml:space="preserve">Whether the PG could permissibly rely on a (new) founding affidavit, together with confirmatory affidavits, in the forfeiture application. </w:t>
      </w:r>
    </w:p>
    <w:p w:rsidR="00D342A5" w:rsidRDefault="00D342A5" w:rsidP="00D66C70">
      <w:pPr>
        <w:spacing w:line="360" w:lineRule="auto"/>
        <w:ind w:left="720"/>
        <w:jc w:val="both"/>
        <w:rPr>
          <w:rFonts w:ascii="Arial" w:hAnsi="Arial" w:cs="Arial"/>
          <w:sz w:val="24"/>
          <w:szCs w:val="24"/>
        </w:rPr>
      </w:pPr>
    </w:p>
    <w:p w:rsidR="002B714F" w:rsidRDefault="002B714F" w:rsidP="008628D4">
      <w:pPr>
        <w:spacing w:line="360" w:lineRule="auto"/>
        <w:jc w:val="both"/>
        <w:rPr>
          <w:rFonts w:ascii="Arial" w:hAnsi="Arial" w:cs="Arial"/>
          <w:sz w:val="24"/>
          <w:szCs w:val="24"/>
          <w:u w:val="single"/>
        </w:rPr>
      </w:pPr>
      <w:r w:rsidRPr="00D342A5">
        <w:rPr>
          <w:rFonts w:ascii="Arial" w:hAnsi="Arial" w:cs="Arial"/>
          <w:sz w:val="24"/>
          <w:szCs w:val="24"/>
          <w:u w:val="single"/>
        </w:rPr>
        <w:t>Basis of the rule 61 application</w:t>
      </w:r>
    </w:p>
    <w:p w:rsidR="00D342A5" w:rsidRPr="00D342A5" w:rsidRDefault="00D342A5" w:rsidP="008628D4">
      <w:pPr>
        <w:spacing w:line="360" w:lineRule="auto"/>
        <w:jc w:val="both"/>
        <w:rPr>
          <w:rFonts w:ascii="Arial" w:hAnsi="Arial" w:cs="Arial"/>
          <w:sz w:val="24"/>
          <w:szCs w:val="24"/>
        </w:rPr>
      </w:pPr>
    </w:p>
    <w:p w:rsidR="00BA0CF1" w:rsidRDefault="00515A28" w:rsidP="00D82365">
      <w:pPr>
        <w:spacing w:before="240" w:after="240" w:line="360" w:lineRule="auto"/>
        <w:jc w:val="both"/>
        <w:rPr>
          <w:rFonts w:ascii="Arial" w:hAnsi="Arial" w:cs="Arial"/>
          <w:sz w:val="24"/>
          <w:szCs w:val="24"/>
        </w:rPr>
      </w:pPr>
      <w:r>
        <w:rPr>
          <w:rFonts w:ascii="Arial" w:hAnsi="Arial" w:cs="Arial"/>
          <w:sz w:val="24"/>
          <w:szCs w:val="24"/>
        </w:rPr>
        <w:t>[10</w:t>
      </w:r>
      <w:r w:rsidR="002B714F">
        <w:rPr>
          <w:rFonts w:ascii="Arial" w:hAnsi="Arial" w:cs="Arial"/>
          <w:sz w:val="24"/>
          <w:szCs w:val="24"/>
        </w:rPr>
        <w:t>]</w:t>
      </w:r>
      <w:r w:rsidR="002B714F">
        <w:rPr>
          <w:rFonts w:ascii="Arial" w:hAnsi="Arial" w:cs="Arial"/>
          <w:sz w:val="24"/>
          <w:szCs w:val="24"/>
        </w:rPr>
        <w:tab/>
      </w:r>
      <w:r w:rsidR="00BA0CF1">
        <w:rPr>
          <w:rFonts w:ascii="Arial" w:hAnsi="Arial" w:cs="Arial"/>
          <w:sz w:val="24"/>
          <w:szCs w:val="24"/>
        </w:rPr>
        <w:t xml:space="preserve">The applicants’ rule 61 application sets out the particulars of the </w:t>
      </w:r>
      <w:r w:rsidR="00ED07A3">
        <w:rPr>
          <w:rFonts w:ascii="Arial" w:hAnsi="Arial" w:cs="Arial"/>
          <w:sz w:val="24"/>
          <w:szCs w:val="24"/>
        </w:rPr>
        <w:t>claimed irregularity</w:t>
      </w:r>
      <w:r w:rsidR="00C6777D">
        <w:rPr>
          <w:rFonts w:ascii="Arial" w:hAnsi="Arial" w:cs="Arial"/>
          <w:sz w:val="24"/>
          <w:szCs w:val="24"/>
        </w:rPr>
        <w:t xml:space="preserve"> (verbatim)</w:t>
      </w:r>
      <w:r w:rsidR="00D342A5">
        <w:rPr>
          <w:rFonts w:ascii="Arial" w:hAnsi="Arial" w:cs="Arial"/>
          <w:sz w:val="24"/>
          <w:szCs w:val="24"/>
        </w:rPr>
        <w:t>, as follows</w:t>
      </w:r>
      <w:r w:rsidR="00BA0CF1">
        <w:rPr>
          <w:rFonts w:ascii="Arial" w:hAnsi="Arial" w:cs="Arial"/>
          <w:sz w:val="24"/>
          <w:szCs w:val="24"/>
        </w:rPr>
        <w:t>:</w:t>
      </w:r>
    </w:p>
    <w:p w:rsidR="00BA0CF1" w:rsidRPr="00515A28" w:rsidRDefault="00ED07A3" w:rsidP="00515A28">
      <w:pPr>
        <w:spacing w:before="240" w:after="240" w:line="360" w:lineRule="auto"/>
        <w:ind w:firstLine="720"/>
        <w:jc w:val="both"/>
        <w:rPr>
          <w:rFonts w:ascii="Arial" w:hAnsi="Arial" w:cs="Arial"/>
        </w:rPr>
      </w:pPr>
      <w:r w:rsidRPr="00515A28">
        <w:rPr>
          <w:rFonts w:ascii="Arial" w:hAnsi="Arial" w:cs="Arial"/>
        </w:rPr>
        <w:t>“1. The (regular) procedure is as follows:</w:t>
      </w:r>
    </w:p>
    <w:p w:rsidR="00ED07A3" w:rsidRPr="00515A28" w:rsidRDefault="00ED07A3" w:rsidP="00515A28">
      <w:pPr>
        <w:pStyle w:val="ListParagraph"/>
        <w:numPr>
          <w:ilvl w:val="1"/>
          <w:numId w:val="4"/>
        </w:numPr>
        <w:spacing w:before="240" w:after="240" w:line="360" w:lineRule="auto"/>
        <w:jc w:val="both"/>
        <w:rPr>
          <w:rFonts w:ascii="Arial" w:hAnsi="Arial" w:cs="Arial"/>
        </w:rPr>
      </w:pPr>
      <w:r w:rsidRPr="00515A28">
        <w:rPr>
          <w:rFonts w:ascii="Arial" w:hAnsi="Arial" w:cs="Arial"/>
        </w:rPr>
        <w:t>In terms of section 51(1) the PG “may apply to the High Court for a preservation of property order”, which the PG did on 3 May 2018. In terms of section 52(1) and (2), the PG must serve the preservation order on all interested parties and publish it in the Government Gazette. The preservation order was served on 8 May 2018, after which it was published in the Government Gazette on 18 May 2018.</w:t>
      </w:r>
    </w:p>
    <w:p w:rsidR="00ED07A3" w:rsidRPr="00515A28" w:rsidRDefault="00515A28" w:rsidP="00515A28">
      <w:pPr>
        <w:pStyle w:val="ListParagraph"/>
        <w:tabs>
          <w:tab w:val="left" w:pos="2325"/>
        </w:tabs>
        <w:spacing w:before="240" w:after="240" w:line="360" w:lineRule="auto"/>
        <w:ind w:left="1185"/>
        <w:jc w:val="both"/>
        <w:rPr>
          <w:rFonts w:ascii="Arial" w:hAnsi="Arial" w:cs="Arial"/>
        </w:rPr>
      </w:pPr>
      <w:r w:rsidRPr="00515A28">
        <w:rPr>
          <w:rFonts w:ascii="Arial" w:hAnsi="Arial" w:cs="Arial"/>
        </w:rPr>
        <w:tab/>
      </w:r>
    </w:p>
    <w:p w:rsidR="00ED07A3" w:rsidRPr="00515A28" w:rsidRDefault="00ED07A3" w:rsidP="00ED07A3">
      <w:pPr>
        <w:pStyle w:val="ListParagraph"/>
        <w:numPr>
          <w:ilvl w:val="1"/>
          <w:numId w:val="4"/>
        </w:numPr>
        <w:spacing w:before="240" w:after="240" w:line="360" w:lineRule="auto"/>
        <w:jc w:val="both"/>
        <w:rPr>
          <w:rFonts w:ascii="Arial" w:hAnsi="Arial" w:cs="Arial"/>
        </w:rPr>
      </w:pPr>
      <w:r w:rsidRPr="00515A28">
        <w:rPr>
          <w:rFonts w:ascii="Arial" w:hAnsi="Arial" w:cs="Arial"/>
        </w:rPr>
        <w:t>In terms of section 52(3) and (4) any interested person may, within 21 days, “give written notice of his or her intention to oppose the making of a forfeiture order or apply, in writing, for an order excluding his or her interest in the property concerned from the operation of the preservation of property order”.</w:t>
      </w:r>
    </w:p>
    <w:p w:rsidR="00ED07A3" w:rsidRPr="00515A28" w:rsidRDefault="00ED07A3" w:rsidP="00ED07A3">
      <w:pPr>
        <w:pStyle w:val="ListParagraph"/>
        <w:rPr>
          <w:rFonts w:ascii="Arial" w:hAnsi="Arial" w:cs="Arial"/>
        </w:rPr>
      </w:pPr>
    </w:p>
    <w:p w:rsidR="00ED07A3" w:rsidRPr="00515A28" w:rsidRDefault="00ED07A3" w:rsidP="00ED07A3">
      <w:pPr>
        <w:pStyle w:val="ListParagraph"/>
        <w:numPr>
          <w:ilvl w:val="1"/>
          <w:numId w:val="4"/>
        </w:numPr>
        <w:spacing w:before="240" w:after="240" w:line="360" w:lineRule="auto"/>
        <w:jc w:val="both"/>
        <w:rPr>
          <w:rFonts w:ascii="Arial" w:hAnsi="Arial" w:cs="Arial"/>
        </w:rPr>
      </w:pPr>
      <w:r w:rsidRPr="00515A28">
        <w:rPr>
          <w:rFonts w:ascii="Arial" w:hAnsi="Arial" w:cs="Arial"/>
        </w:rPr>
        <w:t xml:space="preserve">In terms of section 52(5)(e)(i) such a notice, “must be accompanied by an affidavit stating” the “facts on which he or she intends to rely on </w:t>
      </w:r>
      <w:r w:rsidRPr="00515A28">
        <w:rPr>
          <w:rFonts w:ascii="Arial" w:hAnsi="Arial" w:cs="Arial"/>
          <w:u w:val="single"/>
        </w:rPr>
        <w:t>in opposing the making of a forfeiture order</w:t>
      </w:r>
      <w:r w:rsidRPr="00515A28">
        <w:rPr>
          <w:rFonts w:ascii="Arial" w:hAnsi="Arial" w:cs="Arial"/>
        </w:rPr>
        <w:t xml:space="preserve"> or applying for an order “excluding his or her interest in the property preserved. The 1</w:t>
      </w:r>
      <w:r w:rsidRPr="00515A28">
        <w:rPr>
          <w:rFonts w:ascii="Arial" w:hAnsi="Arial" w:cs="Arial"/>
          <w:vertAlign w:val="superscript"/>
        </w:rPr>
        <w:t>st</w:t>
      </w:r>
      <w:r w:rsidRPr="00515A28">
        <w:rPr>
          <w:rFonts w:ascii="Arial" w:hAnsi="Arial" w:cs="Arial"/>
        </w:rPr>
        <w:t xml:space="preserve"> an 2</w:t>
      </w:r>
      <w:r w:rsidRPr="00515A28">
        <w:rPr>
          <w:rFonts w:ascii="Arial" w:hAnsi="Arial" w:cs="Arial"/>
          <w:vertAlign w:val="superscript"/>
        </w:rPr>
        <w:t>nd</w:t>
      </w:r>
      <w:r w:rsidRPr="00515A28">
        <w:rPr>
          <w:rFonts w:ascii="Arial" w:hAnsi="Arial" w:cs="Arial"/>
        </w:rPr>
        <w:t xml:space="preserve"> respondents’ affidavit as envisaged in terms of section 52(5)(e)(i), was delivered on 23 May 2018.</w:t>
      </w:r>
    </w:p>
    <w:p w:rsidR="00ED07A3" w:rsidRPr="00515A28" w:rsidRDefault="00ED07A3" w:rsidP="00ED07A3">
      <w:pPr>
        <w:pStyle w:val="ListParagraph"/>
        <w:rPr>
          <w:rFonts w:ascii="Arial" w:hAnsi="Arial" w:cs="Arial"/>
        </w:rPr>
      </w:pPr>
    </w:p>
    <w:p w:rsidR="00ED07A3" w:rsidRPr="00515A28" w:rsidRDefault="00ED07A3" w:rsidP="00ED07A3">
      <w:pPr>
        <w:pStyle w:val="ListParagraph"/>
        <w:numPr>
          <w:ilvl w:val="1"/>
          <w:numId w:val="4"/>
        </w:numPr>
        <w:spacing w:before="240" w:after="240" w:line="360" w:lineRule="auto"/>
        <w:jc w:val="both"/>
        <w:rPr>
          <w:rFonts w:ascii="Arial" w:hAnsi="Arial" w:cs="Arial"/>
        </w:rPr>
      </w:pPr>
      <w:r w:rsidRPr="00515A28">
        <w:rPr>
          <w:rFonts w:ascii="Arial" w:hAnsi="Arial" w:cs="Arial"/>
        </w:rPr>
        <w:t xml:space="preserve">In terms of section 90, the “Judge – President must make rules for the High Court regulating the proceedings contemplated in Chapters 5 and 6”. In terms of Rule 79(1) the “rule applies to applications brought in terms of sections 25, 43, 51, 59 and 64 of the POCA”, and, in terms of Rule 79(2) “must comply with rule 65(1) and (3) as well as the provisions that apply to specific applications referred to in the </w:t>
      </w:r>
      <w:r w:rsidRPr="00515A28">
        <w:rPr>
          <w:rFonts w:ascii="Arial" w:hAnsi="Arial" w:cs="Arial"/>
          <w:u w:val="single"/>
        </w:rPr>
        <w:t>relevant sections of the POCA</w:t>
      </w:r>
      <w:r w:rsidRPr="00515A28">
        <w:rPr>
          <w:rFonts w:ascii="Arial" w:hAnsi="Arial" w:cs="Arial"/>
        </w:rPr>
        <w:t>”.</w:t>
      </w:r>
    </w:p>
    <w:p w:rsidR="00ED07A3" w:rsidRPr="00515A28" w:rsidRDefault="00ED07A3" w:rsidP="00ED07A3">
      <w:pPr>
        <w:pStyle w:val="ListParagraph"/>
        <w:rPr>
          <w:rFonts w:ascii="Arial" w:hAnsi="Arial" w:cs="Arial"/>
        </w:rPr>
      </w:pPr>
    </w:p>
    <w:p w:rsidR="00ED07A3" w:rsidRPr="00515A28" w:rsidRDefault="00BE585B" w:rsidP="00ED07A3">
      <w:pPr>
        <w:pStyle w:val="ListParagraph"/>
        <w:numPr>
          <w:ilvl w:val="1"/>
          <w:numId w:val="4"/>
        </w:numPr>
        <w:spacing w:before="240" w:after="240" w:line="360" w:lineRule="auto"/>
        <w:jc w:val="both"/>
        <w:rPr>
          <w:rFonts w:ascii="Arial" w:hAnsi="Arial" w:cs="Arial"/>
        </w:rPr>
      </w:pPr>
      <w:r w:rsidRPr="00515A28">
        <w:rPr>
          <w:rFonts w:ascii="Arial" w:hAnsi="Arial" w:cs="Arial"/>
        </w:rPr>
        <w:t>In terms of Rule 66(2) the applicant “may, within 14 days of the service on … her of the (opposing) affidavit … deliver a replying affidavit and the court may in its discretion permit the filing of further affidavits”. The applicant’s 14 days to deliver a replying affidavit expired 14 days after 23 May 2018, i.e. on 13 June 2018.</w:t>
      </w:r>
    </w:p>
    <w:p w:rsidR="00BE585B" w:rsidRPr="00515A28" w:rsidRDefault="00BE585B" w:rsidP="00BE585B">
      <w:pPr>
        <w:pStyle w:val="ListParagraph"/>
        <w:rPr>
          <w:rFonts w:ascii="Arial" w:hAnsi="Arial" w:cs="Arial"/>
        </w:rPr>
      </w:pPr>
    </w:p>
    <w:p w:rsidR="00BE585B" w:rsidRPr="00515A28" w:rsidRDefault="00BE585B" w:rsidP="00ED07A3">
      <w:pPr>
        <w:pStyle w:val="ListParagraph"/>
        <w:numPr>
          <w:ilvl w:val="1"/>
          <w:numId w:val="4"/>
        </w:numPr>
        <w:spacing w:before="240" w:after="240" w:line="360" w:lineRule="auto"/>
        <w:jc w:val="both"/>
        <w:rPr>
          <w:rFonts w:ascii="Arial" w:hAnsi="Arial" w:cs="Arial"/>
        </w:rPr>
      </w:pPr>
      <w:r w:rsidRPr="00515A28">
        <w:rPr>
          <w:rFonts w:ascii="Arial" w:hAnsi="Arial" w:cs="Arial"/>
        </w:rPr>
        <w:t>In terms of section 59(1), and while a preservation order is in force, the applicant “may apply to the High Court for an order forfeiting to the State all or any of the property that I subject to a preservation of property order”. In terms of section 59(2) the applicant “must, in the prescribed manner, give 14 days’ notice of an application under subsection (1) to every person who gave notice in terms of section 52(3)”.</w:t>
      </w:r>
    </w:p>
    <w:p w:rsidR="00BE585B" w:rsidRPr="00515A28" w:rsidRDefault="00BE585B" w:rsidP="00BE585B">
      <w:pPr>
        <w:pStyle w:val="ListParagraph"/>
        <w:rPr>
          <w:rFonts w:ascii="Arial" w:hAnsi="Arial" w:cs="Arial"/>
        </w:rPr>
      </w:pPr>
    </w:p>
    <w:p w:rsidR="00BE585B" w:rsidRPr="00515A28" w:rsidRDefault="00BE585B" w:rsidP="00BE585B">
      <w:pPr>
        <w:spacing w:before="240" w:after="240" w:line="360" w:lineRule="auto"/>
        <w:ind w:left="720"/>
        <w:jc w:val="both"/>
        <w:rPr>
          <w:rFonts w:ascii="Arial" w:hAnsi="Arial" w:cs="Arial"/>
        </w:rPr>
      </w:pPr>
      <w:r w:rsidRPr="00515A28">
        <w:rPr>
          <w:rFonts w:ascii="Arial" w:hAnsi="Arial" w:cs="Arial"/>
        </w:rPr>
        <w:t>2. On 12 September 2018, the 1</w:t>
      </w:r>
      <w:r w:rsidRPr="00515A28">
        <w:rPr>
          <w:rFonts w:ascii="Arial" w:hAnsi="Arial" w:cs="Arial"/>
          <w:vertAlign w:val="superscript"/>
        </w:rPr>
        <w:t>st</w:t>
      </w:r>
      <w:r w:rsidRPr="00515A28">
        <w:rPr>
          <w:rFonts w:ascii="Arial" w:hAnsi="Arial" w:cs="Arial"/>
        </w:rPr>
        <w:t xml:space="preserve"> and 2</w:t>
      </w:r>
      <w:r w:rsidRPr="00515A28">
        <w:rPr>
          <w:rFonts w:ascii="Arial" w:hAnsi="Arial" w:cs="Arial"/>
          <w:vertAlign w:val="superscript"/>
        </w:rPr>
        <w:t>nd</w:t>
      </w:r>
      <w:r w:rsidRPr="00515A28">
        <w:rPr>
          <w:rFonts w:ascii="Arial" w:hAnsi="Arial" w:cs="Arial"/>
        </w:rPr>
        <w:t xml:space="preserve"> respondents received a notice of application for a forfeiture order.</w:t>
      </w:r>
    </w:p>
    <w:p w:rsidR="00BE585B" w:rsidRPr="00515A28" w:rsidRDefault="00BE585B" w:rsidP="00BE585B">
      <w:pPr>
        <w:spacing w:before="240" w:after="240" w:line="360" w:lineRule="auto"/>
        <w:ind w:left="720"/>
        <w:jc w:val="both"/>
        <w:rPr>
          <w:rFonts w:ascii="Arial" w:hAnsi="Arial" w:cs="Arial"/>
        </w:rPr>
      </w:pPr>
      <w:r w:rsidRPr="00515A28">
        <w:rPr>
          <w:rFonts w:ascii="Arial" w:hAnsi="Arial" w:cs="Arial"/>
        </w:rPr>
        <w:t>2.1 Therein, they are instructed to give notice of their intention to oppose the making of a forfeiture order or to apply for an order excluding their interest in the property, within 14 days, failing which the forfeiture application will proceed on 4 October 2018. They are also instructed to file their answering affidavit 14 days thereafter.</w:t>
      </w:r>
    </w:p>
    <w:p w:rsidR="00BE585B" w:rsidRPr="00515A28" w:rsidRDefault="00BE585B" w:rsidP="00BE585B">
      <w:pPr>
        <w:spacing w:before="240" w:after="240" w:line="360" w:lineRule="auto"/>
        <w:ind w:left="720"/>
        <w:jc w:val="both"/>
        <w:rPr>
          <w:rFonts w:ascii="Arial" w:hAnsi="Arial" w:cs="Arial"/>
        </w:rPr>
      </w:pPr>
      <w:r w:rsidRPr="00515A28">
        <w:rPr>
          <w:rFonts w:ascii="Arial" w:hAnsi="Arial" w:cs="Arial"/>
        </w:rPr>
        <w:t>2.2</w:t>
      </w:r>
      <w:r w:rsidR="00A127D2" w:rsidRPr="00515A28">
        <w:rPr>
          <w:rFonts w:ascii="Arial" w:hAnsi="Arial" w:cs="Arial"/>
        </w:rPr>
        <w:t xml:space="preserve"> The 1</w:t>
      </w:r>
      <w:r w:rsidR="00A127D2" w:rsidRPr="00515A28">
        <w:rPr>
          <w:rFonts w:ascii="Arial" w:hAnsi="Arial" w:cs="Arial"/>
          <w:vertAlign w:val="superscript"/>
        </w:rPr>
        <w:t>st</w:t>
      </w:r>
      <w:r w:rsidR="00A127D2" w:rsidRPr="00515A28">
        <w:rPr>
          <w:rFonts w:ascii="Arial" w:hAnsi="Arial" w:cs="Arial"/>
        </w:rPr>
        <w:t xml:space="preserve"> and 2</w:t>
      </w:r>
      <w:r w:rsidR="00A127D2" w:rsidRPr="00515A28">
        <w:rPr>
          <w:rFonts w:ascii="Arial" w:hAnsi="Arial" w:cs="Arial"/>
          <w:vertAlign w:val="superscript"/>
        </w:rPr>
        <w:t>nd</w:t>
      </w:r>
      <w:r w:rsidR="00A127D2" w:rsidRPr="00515A28">
        <w:rPr>
          <w:rFonts w:ascii="Arial" w:hAnsi="Arial" w:cs="Arial"/>
        </w:rPr>
        <w:t xml:space="preserve"> respondents have already done so in the manner prescribed by section 52(3), (4) and (5) of the POCA and cannot be called upon to do so again by the applicant.</w:t>
      </w:r>
    </w:p>
    <w:p w:rsidR="00A127D2" w:rsidRPr="00515A28" w:rsidRDefault="00A127D2" w:rsidP="00BE585B">
      <w:pPr>
        <w:spacing w:before="240" w:after="240" w:line="360" w:lineRule="auto"/>
        <w:ind w:left="720"/>
        <w:jc w:val="both"/>
        <w:rPr>
          <w:rFonts w:ascii="Arial" w:hAnsi="Arial" w:cs="Arial"/>
        </w:rPr>
      </w:pPr>
      <w:r w:rsidRPr="00515A28">
        <w:rPr>
          <w:rFonts w:ascii="Arial" w:hAnsi="Arial" w:cs="Arial"/>
        </w:rPr>
        <w:t>2.3 The notice of application further sets the matter down on 4 October 2018.</w:t>
      </w:r>
    </w:p>
    <w:p w:rsidR="00A127D2" w:rsidRPr="00515A28" w:rsidRDefault="00A127D2" w:rsidP="00BE585B">
      <w:pPr>
        <w:spacing w:before="240" w:after="240" w:line="360" w:lineRule="auto"/>
        <w:ind w:left="720"/>
        <w:jc w:val="both"/>
        <w:rPr>
          <w:rFonts w:ascii="Arial" w:hAnsi="Arial" w:cs="Arial"/>
        </w:rPr>
      </w:pPr>
      <w:r w:rsidRPr="00515A28">
        <w:rPr>
          <w:rFonts w:ascii="Arial" w:hAnsi="Arial" w:cs="Arial"/>
        </w:rPr>
        <w:t>2.4 The notice of application is accompanied by a (new) founding and supporting affidavits, which are also used to answer to the 1</w:t>
      </w:r>
      <w:r w:rsidRPr="00515A28">
        <w:rPr>
          <w:rFonts w:ascii="Arial" w:hAnsi="Arial" w:cs="Arial"/>
          <w:vertAlign w:val="superscript"/>
        </w:rPr>
        <w:t>st</w:t>
      </w:r>
      <w:r w:rsidRPr="00515A28">
        <w:rPr>
          <w:rFonts w:ascii="Arial" w:hAnsi="Arial" w:cs="Arial"/>
        </w:rPr>
        <w:t xml:space="preserve"> and 2</w:t>
      </w:r>
      <w:r w:rsidRPr="00515A28">
        <w:rPr>
          <w:rFonts w:ascii="Arial" w:hAnsi="Arial" w:cs="Arial"/>
          <w:vertAlign w:val="superscript"/>
        </w:rPr>
        <w:t>nd</w:t>
      </w:r>
      <w:r w:rsidRPr="00515A28">
        <w:rPr>
          <w:rFonts w:ascii="Arial" w:hAnsi="Arial" w:cs="Arial"/>
        </w:rPr>
        <w:t xml:space="preserve"> respondents opposing affidavit, in the same manner as a replying affidavit would. Such a replying affidavit was due on 13 June 2018 already, some 3 months before.</w:t>
      </w:r>
    </w:p>
    <w:p w:rsidR="006C555C" w:rsidRPr="00515A28" w:rsidRDefault="006C555C" w:rsidP="00BE585B">
      <w:pPr>
        <w:spacing w:before="240" w:after="240" w:line="360" w:lineRule="auto"/>
        <w:ind w:left="720"/>
        <w:jc w:val="both"/>
        <w:rPr>
          <w:rFonts w:ascii="Arial" w:hAnsi="Arial" w:cs="Arial"/>
        </w:rPr>
      </w:pPr>
      <w:r w:rsidRPr="00515A28">
        <w:rPr>
          <w:rFonts w:ascii="Arial" w:hAnsi="Arial" w:cs="Arial"/>
        </w:rPr>
        <w:t>3. The POCA Act and the High Court Rules do not allow for the irregular notice of application, late replying affidavits or a further founding affidavit. These are all irregular and the 1</w:t>
      </w:r>
      <w:r w:rsidRPr="00515A28">
        <w:rPr>
          <w:rFonts w:ascii="Arial" w:hAnsi="Arial" w:cs="Arial"/>
          <w:vertAlign w:val="superscript"/>
        </w:rPr>
        <w:t>st</w:t>
      </w:r>
      <w:r w:rsidRPr="00515A28">
        <w:rPr>
          <w:rFonts w:ascii="Arial" w:hAnsi="Arial" w:cs="Arial"/>
        </w:rPr>
        <w:t xml:space="preserve"> and 2</w:t>
      </w:r>
      <w:r w:rsidRPr="00515A28">
        <w:rPr>
          <w:rFonts w:ascii="Arial" w:hAnsi="Arial" w:cs="Arial"/>
          <w:vertAlign w:val="superscript"/>
        </w:rPr>
        <w:t>nd</w:t>
      </w:r>
      <w:r w:rsidRPr="00515A28">
        <w:rPr>
          <w:rFonts w:ascii="Arial" w:hAnsi="Arial" w:cs="Arial"/>
        </w:rPr>
        <w:t xml:space="preserve"> respondents are prejudiced thereby.</w:t>
      </w:r>
    </w:p>
    <w:p w:rsidR="006C555C" w:rsidRPr="00515A28" w:rsidRDefault="006C555C" w:rsidP="006C555C">
      <w:pPr>
        <w:spacing w:before="240" w:after="240" w:line="360" w:lineRule="auto"/>
        <w:ind w:left="1440"/>
        <w:jc w:val="both"/>
        <w:rPr>
          <w:rFonts w:ascii="Arial" w:hAnsi="Arial" w:cs="Arial"/>
        </w:rPr>
      </w:pPr>
      <w:r w:rsidRPr="00515A28">
        <w:rPr>
          <w:rFonts w:ascii="Arial" w:hAnsi="Arial" w:cs="Arial"/>
        </w:rPr>
        <w:t xml:space="preserve">3.1 They have incurred substantial costs to prepare the notice to oppose and opposing affidavit prescribed by the POCA Act. </w:t>
      </w:r>
    </w:p>
    <w:p w:rsidR="006C555C" w:rsidRPr="00515A28" w:rsidRDefault="006C555C" w:rsidP="006C555C">
      <w:pPr>
        <w:spacing w:before="240" w:after="240" w:line="360" w:lineRule="auto"/>
        <w:ind w:left="1440"/>
        <w:jc w:val="both"/>
        <w:rPr>
          <w:rFonts w:ascii="Arial" w:hAnsi="Arial" w:cs="Arial"/>
        </w:rPr>
      </w:pPr>
      <w:r w:rsidRPr="00515A28">
        <w:rPr>
          <w:rFonts w:ascii="Arial" w:hAnsi="Arial" w:cs="Arial"/>
        </w:rPr>
        <w:t>3.2 The 1</w:t>
      </w:r>
      <w:r w:rsidRPr="00515A28">
        <w:rPr>
          <w:rFonts w:ascii="Arial" w:hAnsi="Arial" w:cs="Arial"/>
          <w:vertAlign w:val="superscript"/>
        </w:rPr>
        <w:t>st</w:t>
      </w:r>
      <w:r w:rsidRPr="00515A28">
        <w:rPr>
          <w:rFonts w:ascii="Arial" w:hAnsi="Arial" w:cs="Arial"/>
        </w:rPr>
        <w:t xml:space="preserve"> and 2</w:t>
      </w:r>
      <w:r w:rsidRPr="00515A28">
        <w:rPr>
          <w:rFonts w:ascii="Arial" w:hAnsi="Arial" w:cs="Arial"/>
          <w:vertAlign w:val="superscript"/>
        </w:rPr>
        <w:t>nd</w:t>
      </w:r>
      <w:r w:rsidRPr="00515A28">
        <w:rPr>
          <w:rFonts w:ascii="Arial" w:hAnsi="Arial" w:cs="Arial"/>
        </w:rPr>
        <w:t xml:space="preserve"> respondents’ funds are preserved and they simply cannot afford to and will not answer to the late replying affidavit or to the new and irregular founding affidavit.</w:t>
      </w:r>
    </w:p>
    <w:p w:rsidR="00BA0CF1" w:rsidRPr="00515A28" w:rsidRDefault="006C555C" w:rsidP="00D82365">
      <w:pPr>
        <w:spacing w:before="240" w:after="240" w:line="360" w:lineRule="auto"/>
        <w:jc w:val="both"/>
        <w:rPr>
          <w:rFonts w:ascii="Arial" w:hAnsi="Arial" w:cs="Arial"/>
        </w:rPr>
      </w:pPr>
      <w:r w:rsidRPr="00515A28">
        <w:rPr>
          <w:rFonts w:ascii="Arial" w:hAnsi="Arial" w:cs="Arial"/>
        </w:rPr>
        <w:tab/>
        <w:t>4. In the result, this application must succeed with costs.”</w:t>
      </w:r>
    </w:p>
    <w:p w:rsidR="00515A28" w:rsidRDefault="00515A28" w:rsidP="008628D4">
      <w:pPr>
        <w:spacing w:line="360" w:lineRule="auto"/>
        <w:jc w:val="both"/>
        <w:rPr>
          <w:rFonts w:ascii="Arial" w:hAnsi="Arial" w:cs="Arial"/>
          <w:sz w:val="24"/>
          <w:szCs w:val="24"/>
          <w:u w:val="single"/>
        </w:rPr>
      </w:pPr>
    </w:p>
    <w:p w:rsidR="008628D4" w:rsidRDefault="008628D4" w:rsidP="008628D4">
      <w:pPr>
        <w:spacing w:line="360" w:lineRule="auto"/>
        <w:jc w:val="both"/>
        <w:rPr>
          <w:rFonts w:ascii="Arial" w:hAnsi="Arial" w:cs="Arial"/>
          <w:sz w:val="24"/>
          <w:szCs w:val="24"/>
          <w:u w:val="single"/>
        </w:rPr>
      </w:pPr>
      <w:r w:rsidRPr="002B1F32">
        <w:rPr>
          <w:rFonts w:ascii="Arial" w:hAnsi="Arial" w:cs="Arial"/>
          <w:sz w:val="24"/>
          <w:szCs w:val="24"/>
          <w:u w:val="single"/>
        </w:rPr>
        <w:t>Submissions by the parties</w:t>
      </w:r>
    </w:p>
    <w:p w:rsidR="002B1F32" w:rsidRPr="002B1F32" w:rsidRDefault="002B1F32" w:rsidP="008628D4">
      <w:pPr>
        <w:spacing w:line="360" w:lineRule="auto"/>
        <w:jc w:val="both"/>
        <w:rPr>
          <w:rFonts w:ascii="Arial" w:hAnsi="Arial" w:cs="Arial"/>
          <w:sz w:val="24"/>
          <w:szCs w:val="24"/>
        </w:rPr>
      </w:pPr>
    </w:p>
    <w:p w:rsidR="009050B6" w:rsidRDefault="00515A28" w:rsidP="008628D4">
      <w:pPr>
        <w:spacing w:line="360" w:lineRule="auto"/>
        <w:jc w:val="both"/>
        <w:rPr>
          <w:rFonts w:ascii="Arial" w:hAnsi="Arial" w:cs="Arial"/>
          <w:sz w:val="24"/>
          <w:szCs w:val="24"/>
        </w:rPr>
      </w:pPr>
      <w:r>
        <w:rPr>
          <w:rFonts w:ascii="Arial" w:hAnsi="Arial" w:cs="Arial"/>
          <w:sz w:val="24"/>
          <w:szCs w:val="24"/>
        </w:rPr>
        <w:t>[11</w:t>
      </w:r>
      <w:r w:rsidR="009050B6">
        <w:rPr>
          <w:rFonts w:ascii="Arial" w:hAnsi="Arial" w:cs="Arial"/>
          <w:sz w:val="24"/>
          <w:szCs w:val="24"/>
        </w:rPr>
        <w:t>]</w:t>
      </w:r>
      <w:r w:rsidR="009050B6">
        <w:rPr>
          <w:rFonts w:ascii="Arial" w:hAnsi="Arial" w:cs="Arial"/>
          <w:sz w:val="24"/>
          <w:szCs w:val="24"/>
        </w:rPr>
        <w:tab/>
      </w:r>
      <w:r w:rsidR="002B1F32">
        <w:rPr>
          <w:rFonts w:ascii="Arial" w:hAnsi="Arial" w:cs="Arial"/>
          <w:sz w:val="24"/>
          <w:szCs w:val="24"/>
        </w:rPr>
        <w:t>Mr. Heathcote,</w:t>
      </w:r>
      <w:r w:rsidR="008628D4">
        <w:rPr>
          <w:rFonts w:ascii="Arial" w:hAnsi="Arial" w:cs="Arial"/>
          <w:sz w:val="24"/>
          <w:szCs w:val="24"/>
        </w:rPr>
        <w:t xml:space="preserve"> for the applicants contended in his w</w:t>
      </w:r>
      <w:r w:rsidR="002B1F32">
        <w:rPr>
          <w:rFonts w:ascii="Arial" w:hAnsi="Arial" w:cs="Arial"/>
          <w:sz w:val="24"/>
          <w:szCs w:val="24"/>
        </w:rPr>
        <w:t>ritten heads of argument, and further,</w:t>
      </w:r>
      <w:r w:rsidR="009050B6">
        <w:rPr>
          <w:rFonts w:ascii="Arial" w:hAnsi="Arial" w:cs="Arial"/>
          <w:sz w:val="24"/>
          <w:szCs w:val="24"/>
        </w:rPr>
        <w:t xml:space="preserve"> in oral argument, that</w:t>
      </w:r>
      <w:r w:rsidR="00D82365">
        <w:rPr>
          <w:rFonts w:ascii="Arial" w:hAnsi="Arial" w:cs="Arial"/>
          <w:sz w:val="24"/>
          <w:szCs w:val="24"/>
        </w:rPr>
        <w:t xml:space="preserve"> the applicants did what</w:t>
      </w:r>
      <w:r w:rsidR="009050B6">
        <w:rPr>
          <w:rFonts w:ascii="Arial" w:hAnsi="Arial" w:cs="Arial"/>
          <w:sz w:val="24"/>
          <w:szCs w:val="24"/>
        </w:rPr>
        <w:t xml:space="preserve"> they were called upon to do in response to the statutor</w:t>
      </w:r>
      <w:r w:rsidR="00D66C70">
        <w:rPr>
          <w:rFonts w:ascii="Arial" w:hAnsi="Arial" w:cs="Arial"/>
          <w:sz w:val="24"/>
          <w:szCs w:val="24"/>
        </w:rPr>
        <w:t xml:space="preserve">y </w:t>
      </w:r>
      <w:r w:rsidR="002B1F32">
        <w:rPr>
          <w:rFonts w:ascii="Arial" w:hAnsi="Arial" w:cs="Arial"/>
          <w:sz w:val="24"/>
          <w:szCs w:val="24"/>
        </w:rPr>
        <w:t>notice contemplated in</w:t>
      </w:r>
      <w:r w:rsidR="00D66C70">
        <w:rPr>
          <w:rFonts w:ascii="Arial" w:hAnsi="Arial" w:cs="Arial"/>
          <w:sz w:val="24"/>
          <w:szCs w:val="24"/>
        </w:rPr>
        <w:t xml:space="preserve"> s</w:t>
      </w:r>
      <w:r w:rsidR="009050B6">
        <w:rPr>
          <w:rFonts w:ascii="Arial" w:hAnsi="Arial" w:cs="Arial"/>
          <w:sz w:val="24"/>
          <w:szCs w:val="24"/>
        </w:rPr>
        <w:t xml:space="preserve"> 52(1) of POC</w:t>
      </w:r>
      <w:r w:rsidR="00D66C70">
        <w:rPr>
          <w:rFonts w:ascii="Arial" w:hAnsi="Arial" w:cs="Arial"/>
          <w:sz w:val="24"/>
          <w:szCs w:val="24"/>
        </w:rPr>
        <w:t>A. They filed their s</w:t>
      </w:r>
      <w:r w:rsidR="009050B6">
        <w:rPr>
          <w:rFonts w:ascii="Arial" w:hAnsi="Arial" w:cs="Arial"/>
          <w:sz w:val="24"/>
          <w:szCs w:val="24"/>
        </w:rPr>
        <w:t xml:space="preserve"> 52(3) POCA notice to opp</w:t>
      </w:r>
      <w:r w:rsidR="00D66C70">
        <w:rPr>
          <w:rFonts w:ascii="Arial" w:hAnsi="Arial" w:cs="Arial"/>
          <w:sz w:val="24"/>
          <w:szCs w:val="24"/>
        </w:rPr>
        <w:t>ose, together with their s</w:t>
      </w:r>
      <w:r w:rsidR="009050B6">
        <w:rPr>
          <w:rFonts w:ascii="Arial" w:hAnsi="Arial" w:cs="Arial"/>
          <w:sz w:val="24"/>
          <w:szCs w:val="24"/>
        </w:rPr>
        <w:t xml:space="preserve"> 52(5)(</w:t>
      </w:r>
      <w:r w:rsidR="009050B6" w:rsidRPr="002B1F32">
        <w:rPr>
          <w:rFonts w:ascii="Arial" w:hAnsi="Arial" w:cs="Arial"/>
          <w:i/>
          <w:sz w:val="24"/>
          <w:szCs w:val="24"/>
        </w:rPr>
        <w:t>e</w:t>
      </w:r>
      <w:r w:rsidR="009050B6">
        <w:rPr>
          <w:rFonts w:ascii="Arial" w:hAnsi="Arial" w:cs="Arial"/>
          <w:sz w:val="24"/>
          <w:szCs w:val="24"/>
        </w:rPr>
        <w:t xml:space="preserve">)(i) affidavits on 23 May 2018. </w:t>
      </w:r>
    </w:p>
    <w:p w:rsidR="002B1F32" w:rsidRDefault="002B1F32" w:rsidP="008628D4">
      <w:pPr>
        <w:spacing w:line="360" w:lineRule="auto"/>
        <w:jc w:val="both"/>
        <w:rPr>
          <w:rFonts w:ascii="Arial" w:hAnsi="Arial" w:cs="Arial"/>
          <w:sz w:val="24"/>
          <w:szCs w:val="24"/>
        </w:rPr>
      </w:pPr>
    </w:p>
    <w:p w:rsidR="00A056E6" w:rsidRDefault="00515A28" w:rsidP="008628D4">
      <w:pPr>
        <w:spacing w:line="360" w:lineRule="auto"/>
        <w:jc w:val="both"/>
        <w:rPr>
          <w:rFonts w:ascii="Arial" w:hAnsi="Arial" w:cs="Arial"/>
          <w:sz w:val="24"/>
          <w:szCs w:val="24"/>
        </w:rPr>
      </w:pPr>
      <w:r>
        <w:rPr>
          <w:rFonts w:ascii="Arial" w:hAnsi="Arial" w:cs="Arial"/>
          <w:sz w:val="24"/>
          <w:szCs w:val="24"/>
        </w:rPr>
        <w:t>[12</w:t>
      </w:r>
      <w:r w:rsidR="009050B6">
        <w:rPr>
          <w:rFonts w:ascii="Arial" w:hAnsi="Arial" w:cs="Arial"/>
          <w:sz w:val="24"/>
          <w:szCs w:val="24"/>
        </w:rPr>
        <w:t>]</w:t>
      </w:r>
      <w:r w:rsidR="009050B6">
        <w:rPr>
          <w:rFonts w:ascii="Arial" w:hAnsi="Arial" w:cs="Arial"/>
          <w:sz w:val="24"/>
          <w:szCs w:val="24"/>
        </w:rPr>
        <w:tab/>
        <w:t>It was further argued on behalf of the appl</w:t>
      </w:r>
      <w:r w:rsidR="00D66C70">
        <w:rPr>
          <w:rFonts w:ascii="Arial" w:hAnsi="Arial" w:cs="Arial"/>
          <w:sz w:val="24"/>
          <w:szCs w:val="24"/>
        </w:rPr>
        <w:t>icants</w:t>
      </w:r>
      <w:r w:rsidR="002B1F32">
        <w:rPr>
          <w:rFonts w:ascii="Arial" w:hAnsi="Arial" w:cs="Arial"/>
          <w:sz w:val="24"/>
          <w:szCs w:val="24"/>
        </w:rPr>
        <w:t>,</w:t>
      </w:r>
      <w:r w:rsidR="00D66C70">
        <w:rPr>
          <w:rFonts w:ascii="Arial" w:hAnsi="Arial" w:cs="Arial"/>
          <w:sz w:val="24"/>
          <w:szCs w:val="24"/>
        </w:rPr>
        <w:t xml:space="preserve"> with reference to s</w:t>
      </w:r>
      <w:r w:rsidR="009050B6">
        <w:rPr>
          <w:rFonts w:ascii="Arial" w:hAnsi="Arial" w:cs="Arial"/>
          <w:sz w:val="24"/>
          <w:szCs w:val="24"/>
        </w:rPr>
        <w:t xml:space="preserve"> 90 of POCA that, in terms of rule 66 of the rules of this court, the PG could only have filed a replying affidavit within 14 days of receipt of the applicant</w:t>
      </w:r>
      <w:r w:rsidR="002B1F32">
        <w:rPr>
          <w:rFonts w:ascii="Arial" w:hAnsi="Arial" w:cs="Arial"/>
          <w:sz w:val="24"/>
          <w:szCs w:val="24"/>
        </w:rPr>
        <w:t>s’ answering affidavit. Thus,</w:t>
      </w:r>
      <w:r w:rsidR="009050B6">
        <w:rPr>
          <w:rFonts w:ascii="Arial" w:hAnsi="Arial" w:cs="Arial"/>
          <w:sz w:val="24"/>
          <w:szCs w:val="24"/>
        </w:rPr>
        <w:t xml:space="preserve"> it was </w:t>
      </w:r>
      <w:r w:rsidR="002B1F32">
        <w:rPr>
          <w:rFonts w:ascii="Arial" w:hAnsi="Arial" w:cs="Arial"/>
          <w:sz w:val="24"/>
          <w:szCs w:val="24"/>
        </w:rPr>
        <w:t xml:space="preserve">so </w:t>
      </w:r>
      <w:r w:rsidR="009050B6">
        <w:rPr>
          <w:rFonts w:ascii="Arial" w:hAnsi="Arial" w:cs="Arial"/>
          <w:sz w:val="24"/>
          <w:szCs w:val="24"/>
        </w:rPr>
        <w:t>contended, the PG’s right to file a reply</w:t>
      </w:r>
      <w:r w:rsidR="002B1F32">
        <w:rPr>
          <w:rFonts w:ascii="Arial" w:hAnsi="Arial" w:cs="Arial"/>
          <w:sz w:val="24"/>
          <w:szCs w:val="24"/>
        </w:rPr>
        <w:t>ing affidavit,</w:t>
      </w:r>
      <w:r w:rsidR="009050B6">
        <w:rPr>
          <w:rFonts w:ascii="Arial" w:hAnsi="Arial" w:cs="Arial"/>
          <w:sz w:val="24"/>
          <w:szCs w:val="24"/>
        </w:rPr>
        <w:t xml:space="preserve"> expired on 13 June 2018. It is on this basis that the applicants contend that the affidavits </w:t>
      </w:r>
      <w:r w:rsidR="00A056E6">
        <w:rPr>
          <w:rFonts w:ascii="Arial" w:hAnsi="Arial" w:cs="Arial"/>
          <w:sz w:val="24"/>
          <w:szCs w:val="24"/>
        </w:rPr>
        <w:t>filed by the PG in support of the forfeiture application are neither sanctioned by the rules of court no</w:t>
      </w:r>
      <w:r w:rsidR="002B1F32">
        <w:rPr>
          <w:rFonts w:ascii="Arial" w:hAnsi="Arial" w:cs="Arial"/>
          <w:sz w:val="24"/>
          <w:szCs w:val="24"/>
        </w:rPr>
        <w:t>r any provision of POCA and are as</w:t>
      </w:r>
      <w:r w:rsidR="00A056E6">
        <w:rPr>
          <w:rFonts w:ascii="Arial" w:hAnsi="Arial" w:cs="Arial"/>
          <w:sz w:val="24"/>
          <w:szCs w:val="24"/>
        </w:rPr>
        <w:t xml:space="preserve"> su</w:t>
      </w:r>
      <w:r w:rsidR="002B1F32">
        <w:rPr>
          <w:rFonts w:ascii="Arial" w:hAnsi="Arial" w:cs="Arial"/>
          <w:sz w:val="24"/>
          <w:szCs w:val="24"/>
        </w:rPr>
        <w:t>ch</w:t>
      </w:r>
      <w:r w:rsidR="00A056E6">
        <w:rPr>
          <w:rFonts w:ascii="Arial" w:hAnsi="Arial" w:cs="Arial"/>
          <w:sz w:val="24"/>
          <w:szCs w:val="24"/>
        </w:rPr>
        <w:t>, irregular within the meaning of rule 61.</w:t>
      </w:r>
    </w:p>
    <w:p w:rsidR="00515A28" w:rsidRDefault="00515A28" w:rsidP="008628D4">
      <w:pPr>
        <w:spacing w:line="360" w:lineRule="auto"/>
        <w:jc w:val="both"/>
        <w:rPr>
          <w:rFonts w:ascii="Arial" w:hAnsi="Arial" w:cs="Arial"/>
          <w:sz w:val="24"/>
          <w:szCs w:val="24"/>
        </w:rPr>
      </w:pPr>
    </w:p>
    <w:p w:rsidR="00D66C70" w:rsidRDefault="00515A28" w:rsidP="008628D4">
      <w:pPr>
        <w:spacing w:line="360" w:lineRule="auto"/>
        <w:jc w:val="both"/>
        <w:rPr>
          <w:rFonts w:ascii="Arial" w:hAnsi="Arial" w:cs="Arial"/>
          <w:sz w:val="24"/>
          <w:szCs w:val="24"/>
        </w:rPr>
      </w:pPr>
      <w:r>
        <w:rPr>
          <w:rFonts w:ascii="Arial" w:hAnsi="Arial" w:cs="Arial"/>
          <w:sz w:val="24"/>
          <w:szCs w:val="24"/>
        </w:rPr>
        <w:t>[13</w:t>
      </w:r>
      <w:r w:rsidR="00A056E6">
        <w:rPr>
          <w:rFonts w:ascii="Arial" w:hAnsi="Arial" w:cs="Arial"/>
          <w:sz w:val="24"/>
          <w:szCs w:val="24"/>
        </w:rPr>
        <w:t>]</w:t>
      </w:r>
      <w:r w:rsidR="00A056E6">
        <w:rPr>
          <w:rFonts w:ascii="Arial" w:hAnsi="Arial" w:cs="Arial"/>
          <w:sz w:val="24"/>
          <w:szCs w:val="24"/>
        </w:rPr>
        <w:tab/>
        <w:t>Mr. Boonzaaier for the respondents surveyed the background to the matter and</w:t>
      </w:r>
      <w:r w:rsidR="008563FF">
        <w:rPr>
          <w:rFonts w:ascii="Arial" w:hAnsi="Arial" w:cs="Arial"/>
          <w:sz w:val="24"/>
          <w:szCs w:val="24"/>
        </w:rPr>
        <w:t>,</w:t>
      </w:r>
      <w:r w:rsidR="00A056E6">
        <w:rPr>
          <w:rFonts w:ascii="Arial" w:hAnsi="Arial" w:cs="Arial"/>
          <w:sz w:val="24"/>
          <w:szCs w:val="24"/>
        </w:rPr>
        <w:t xml:space="preserve"> with r</w:t>
      </w:r>
      <w:r w:rsidR="002B1F32">
        <w:rPr>
          <w:rFonts w:ascii="Arial" w:hAnsi="Arial" w:cs="Arial"/>
          <w:sz w:val="24"/>
          <w:szCs w:val="24"/>
        </w:rPr>
        <w:t>eference to the statutory architecture and a recent judgment of the</w:t>
      </w:r>
      <w:r w:rsidR="00A056E6">
        <w:rPr>
          <w:rFonts w:ascii="Arial" w:hAnsi="Arial" w:cs="Arial"/>
          <w:sz w:val="24"/>
          <w:szCs w:val="24"/>
        </w:rPr>
        <w:t xml:space="preserve"> Supreme Court in the matter of </w:t>
      </w:r>
      <w:r w:rsidR="00A056E6">
        <w:rPr>
          <w:rFonts w:ascii="Arial" w:hAnsi="Arial" w:cs="Arial"/>
          <w:i/>
          <w:sz w:val="24"/>
          <w:szCs w:val="24"/>
        </w:rPr>
        <w:t>Prosecutor – General v Kamunguma</w:t>
      </w:r>
      <w:r w:rsidR="008563FF">
        <w:rPr>
          <w:rFonts w:ascii="Arial" w:hAnsi="Arial" w:cs="Arial"/>
          <w:i/>
          <w:sz w:val="24"/>
          <w:szCs w:val="24"/>
        </w:rPr>
        <w:t>,</w:t>
      </w:r>
      <w:r w:rsidR="00A056E6" w:rsidRPr="00A056E6">
        <w:rPr>
          <w:rStyle w:val="FootnoteReference"/>
          <w:rFonts w:ascii="Arial" w:hAnsi="Arial" w:cs="Arial"/>
          <w:sz w:val="24"/>
          <w:szCs w:val="24"/>
        </w:rPr>
        <w:footnoteReference w:id="2"/>
      </w:r>
      <w:r w:rsidR="00A056E6">
        <w:rPr>
          <w:rFonts w:ascii="Arial" w:hAnsi="Arial" w:cs="Arial"/>
          <w:i/>
          <w:sz w:val="24"/>
          <w:szCs w:val="24"/>
        </w:rPr>
        <w:t xml:space="preserve"> </w:t>
      </w:r>
      <w:r w:rsidR="00FB6332" w:rsidRPr="002B1F32">
        <w:rPr>
          <w:rFonts w:ascii="Arial" w:hAnsi="Arial" w:cs="Arial"/>
          <w:sz w:val="24"/>
          <w:szCs w:val="24"/>
        </w:rPr>
        <w:t xml:space="preserve">contended </w:t>
      </w:r>
      <w:r w:rsidR="00A056E6">
        <w:rPr>
          <w:rFonts w:ascii="Arial" w:hAnsi="Arial" w:cs="Arial"/>
          <w:sz w:val="24"/>
          <w:szCs w:val="24"/>
        </w:rPr>
        <w:t xml:space="preserve">that the PG was not only entitled but obligated </w:t>
      </w:r>
      <w:r w:rsidR="00FB6332">
        <w:rPr>
          <w:rFonts w:ascii="Arial" w:hAnsi="Arial" w:cs="Arial"/>
          <w:sz w:val="24"/>
          <w:szCs w:val="24"/>
        </w:rPr>
        <w:t>to proceed with the forfeiture application in the manner she did. He further submitted that the applicants could not have suffered prejudice as a result of the impugned application as it is a statutory requirement</w:t>
      </w:r>
      <w:r w:rsidR="002B1F32">
        <w:rPr>
          <w:rFonts w:ascii="Arial" w:hAnsi="Arial" w:cs="Arial"/>
          <w:sz w:val="24"/>
          <w:szCs w:val="24"/>
        </w:rPr>
        <w:t>, if a party is so advised,</w:t>
      </w:r>
      <w:r w:rsidR="00FB6332">
        <w:rPr>
          <w:rFonts w:ascii="Arial" w:hAnsi="Arial" w:cs="Arial"/>
          <w:sz w:val="24"/>
          <w:szCs w:val="24"/>
        </w:rPr>
        <w:t xml:space="preserve"> to indicate </w:t>
      </w:r>
      <w:r w:rsidR="002B1F32">
        <w:rPr>
          <w:rFonts w:ascii="Arial" w:hAnsi="Arial" w:cs="Arial"/>
          <w:sz w:val="24"/>
          <w:szCs w:val="24"/>
        </w:rPr>
        <w:t xml:space="preserve">its </w:t>
      </w:r>
      <w:r w:rsidR="00FB6332">
        <w:rPr>
          <w:rFonts w:ascii="Arial" w:hAnsi="Arial" w:cs="Arial"/>
          <w:sz w:val="24"/>
          <w:szCs w:val="24"/>
        </w:rPr>
        <w:t xml:space="preserve">opposition to a forfeiture application. </w:t>
      </w:r>
    </w:p>
    <w:p w:rsidR="002B1F32" w:rsidRDefault="002B1F32" w:rsidP="008628D4">
      <w:pPr>
        <w:spacing w:line="360" w:lineRule="auto"/>
        <w:jc w:val="both"/>
        <w:rPr>
          <w:rFonts w:ascii="Arial" w:hAnsi="Arial" w:cs="Arial"/>
          <w:sz w:val="24"/>
          <w:szCs w:val="24"/>
        </w:rPr>
      </w:pPr>
    </w:p>
    <w:p w:rsidR="00FB6332" w:rsidRPr="00515A28" w:rsidRDefault="00FB6332" w:rsidP="008628D4">
      <w:pPr>
        <w:spacing w:line="360" w:lineRule="auto"/>
        <w:jc w:val="both"/>
        <w:rPr>
          <w:rFonts w:ascii="Arial" w:hAnsi="Arial" w:cs="Arial"/>
          <w:sz w:val="24"/>
          <w:szCs w:val="24"/>
        </w:rPr>
      </w:pPr>
      <w:r w:rsidRPr="00515A28">
        <w:rPr>
          <w:rFonts w:ascii="Arial" w:hAnsi="Arial" w:cs="Arial"/>
          <w:sz w:val="24"/>
          <w:szCs w:val="24"/>
          <w:u w:val="single"/>
        </w:rPr>
        <w:t>Rule 61 of the High Court</w:t>
      </w:r>
    </w:p>
    <w:p w:rsidR="002B1F32" w:rsidRDefault="002B1F32" w:rsidP="008628D4">
      <w:pPr>
        <w:spacing w:line="360" w:lineRule="auto"/>
        <w:jc w:val="both"/>
        <w:rPr>
          <w:rFonts w:ascii="Arial" w:hAnsi="Arial" w:cs="Arial"/>
          <w:sz w:val="24"/>
          <w:szCs w:val="24"/>
        </w:rPr>
      </w:pPr>
    </w:p>
    <w:p w:rsidR="00FB6332" w:rsidRDefault="00515A28" w:rsidP="008628D4">
      <w:pPr>
        <w:spacing w:line="360" w:lineRule="auto"/>
        <w:jc w:val="both"/>
        <w:rPr>
          <w:rFonts w:ascii="Arial" w:hAnsi="Arial" w:cs="Arial"/>
          <w:sz w:val="24"/>
          <w:szCs w:val="24"/>
        </w:rPr>
      </w:pPr>
      <w:r>
        <w:rPr>
          <w:rFonts w:ascii="Arial" w:hAnsi="Arial" w:cs="Arial"/>
          <w:sz w:val="24"/>
          <w:szCs w:val="24"/>
        </w:rPr>
        <w:t>[14</w:t>
      </w:r>
      <w:r w:rsidR="00FB6332">
        <w:rPr>
          <w:rFonts w:ascii="Arial" w:hAnsi="Arial" w:cs="Arial"/>
          <w:sz w:val="24"/>
          <w:szCs w:val="24"/>
        </w:rPr>
        <w:t>]</w:t>
      </w:r>
      <w:r w:rsidR="00FB6332">
        <w:rPr>
          <w:rFonts w:ascii="Arial" w:hAnsi="Arial" w:cs="Arial"/>
          <w:sz w:val="24"/>
          <w:szCs w:val="24"/>
        </w:rPr>
        <w:tab/>
        <w:t>The relevant part</w:t>
      </w:r>
      <w:r w:rsidR="00BA0CF1">
        <w:rPr>
          <w:rFonts w:ascii="Arial" w:hAnsi="Arial" w:cs="Arial"/>
          <w:sz w:val="24"/>
          <w:szCs w:val="24"/>
        </w:rPr>
        <w:t>s</w:t>
      </w:r>
      <w:r w:rsidR="008563FF">
        <w:rPr>
          <w:rFonts w:ascii="Arial" w:hAnsi="Arial" w:cs="Arial"/>
          <w:sz w:val="24"/>
          <w:szCs w:val="24"/>
        </w:rPr>
        <w:t xml:space="preserve"> of the rule provide</w:t>
      </w:r>
      <w:r w:rsidR="00FB6332">
        <w:rPr>
          <w:rFonts w:ascii="Arial" w:hAnsi="Arial" w:cs="Arial"/>
          <w:sz w:val="24"/>
          <w:szCs w:val="24"/>
        </w:rPr>
        <w:t>:</w:t>
      </w:r>
    </w:p>
    <w:p w:rsidR="00FB6332" w:rsidRPr="002B1F32" w:rsidRDefault="00BA0CF1" w:rsidP="002B1F32">
      <w:pPr>
        <w:spacing w:line="360" w:lineRule="auto"/>
        <w:ind w:firstLine="720"/>
        <w:jc w:val="both"/>
        <w:rPr>
          <w:rFonts w:ascii="Arial" w:hAnsi="Arial" w:cs="Arial"/>
        </w:rPr>
      </w:pPr>
      <w:r w:rsidRPr="002B1F32">
        <w:rPr>
          <w:rFonts w:ascii="Arial" w:hAnsi="Arial" w:cs="Arial"/>
        </w:rPr>
        <w:t xml:space="preserve">(1) </w:t>
      </w:r>
      <w:r w:rsidR="00FB6332" w:rsidRPr="002B1F32">
        <w:rPr>
          <w:rFonts w:ascii="Arial" w:hAnsi="Arial" w:cs="Arial"/>
        </w:rPr>
        <w:t xml:space="preserve">A party to a cause or matter in which an irregular step or proceeding has been taken by any other party may, within 10 days after becoming aware of the irregularity, apply to the managing judge to set aside the step or proceeding, but a party that has taken any </w:t>
      </w:r>
      <w:r w:rsidR="00FB6332" w:rsidRPr="002B1F32">
        <w:rPr>
          <w:rFonts w:ascii="Arial" w:hAnsi="Arial" w:cs="Arial"/>
        </w:rPr>
        <w:lastRenderedPageBreak/>
        <w:t>further step in the cause or matter with knowledge of the irregularity is not entitled to make such application.</w:t>
      </w:r>
    </w:p>
    <w:p w:rsidR="00BA0CF1" w:rsidRPr="002B1F32" w:rsidRDefault="00BA0CF1" w:rsidP="002B1F32">
      <w:pPr>
        <w:spacing w:line="360" w:lineRule="auto"/>
        <w:jc w:val="both"/>
        <w:rPr>
          <w:rFonts w:ascii="Arial" w:hAnsi="Arial" w:cs="Arial"/>
        </w:rPr>
      </w:pPr>
      <w:r w:rsidRPr="002B1F32">
        <w:rPr>
          <w:rFonts w:ascii="Arial" w:hAnsi="Arial" w:cs="Arial"/>
        </w:rPr>
        <w:t>(2) An application under subrule (1) is an interlocutory application and must be on notice to all parties and must specify in the notice the particulars of the irregularity alleged as well as the prejudiced claim to be suffered as a result of the irregular step.</w:t>
      </w:r>
    </w:p>
    <w:p w:rsidR="002B1F32" w:rsidRDefault="002B1F32" w:rsidP="008563FF">
      <w:pPr>
        <w:spacing w:line="360" w:lineRule="auto"/>
        <w:jc w:val="both"/>
        <w:rPr>
          <w:rFonts w:ascii="Arial" w:hAnsi="Arial" w:cs="Arial"/>
          <w:sz w:val="24"/>
          <w:szCs w:val="24"/>
        </w:rPr>
      </w:pPr>
    </w:p>
    <w:p w:rsidR="008563FF" w:rsidRDefault="00515A28" w:rsidP="008563FF">
      <w:pPr>
        <w:spacing w:line="360" w:lineRule="auto"/>
        <w:jc w:val="both"/>
        <w:rPr>
          <w:rFonts w:ascii="Arial" w:hAnsi="Arial" w:cs="Arial"/>
          <w:sz w:val="24"/>
          <w:szCs w:val="24"/>
        </w:rPr>
      </w:pPr>
      <w:r>
        <w:rPr>
          <w:rFonts w:ascii="Arial" w:hAnsi="Arial" w:cs="Arial"/>
          <w:sz w:val="24"/>
          <w:szCs w:val="24"/>
        </w:rPr>
        <w:t>[15</w:t>
      </w:r>
      <w:r w:rsidR="002B1F32">
        <w:rPr>
          <w:rFonts w:ascii="Arial" w:hAnsi="Arial" w:cs="Arial"/>
          <w:sz w:val="24"/>
          <w:szCs w:val="24"/>
        </w:rPr>
        <w:t>]</w:t>
      </w:r>
      <w:r w:rsidR="002B1F32">
        <w:rPr>
          <w:rFonts w:ascii="Arial" w:hAnsi="Arial" w:cs="Arial"/>
          <w:sz w:val="24"/>
          <w:szCs w:val="24"/>
        </w:rPr>
        <w:tab/>
        <w:t xml:space="preserve">The question to determine in the circumstances is this: </w:t>
      </w:r>
      <w:r w:rsidR="008563FF" w:rsidRPr="002B1F32">
        <w:rPr>
          <w:rFonts w:ascii="Arial" w:hAnsi="Arial" w:cs="Arial"/>
          <w:sz w:val="24"/>
          <w:szCs w:val="24"/>
        </w:rPr>
        <w:t>Is it irregular for the PG to call upon the applicants to indicate their intent</w:t>
      </w:r>
      <w:r w:rsidR="002B1F32">
        <w:rPr>
          <w:rFonts w:ascii="Arial" w:hAnsi="Arial" w:cs="Arial"/>
          <w:sz w:val="24"/>
          <w:szCs w:val="24"/>
        </w:rPr>
        <w:t>ion</w:t>
      </w:r>
      <w:r w:rsidR="008563FF" w:rsidRPr="002B1F32">
        <w:rPr>
          <w:rFonts w:ascii="Arial" w:hAnsi="Arial" w:cs="Arial"/>
          <w:sz w:val="24"/>
          <w:szCs w:val="24"/>
        </w:rPr>
        <w:t xml:space="preserve"> to oppose the forfeiture application?</w:t>
      </w:r>
    </w:p>
    <w:p w:rsidR="002B1F32" w:rsidRPr="002B1F32" w:rsidRDefault="002B1F32" w:rsidP="008563FF">
      <w:pPr>
        <w:spacing w:line="360" w:lineRule="auto"/>
        <w:jc w:val="both"/>
        <w:rPr>
          <w:rFonts w:ascii="Arial" w:hAnsi="Arial" w:cs="Arial"/>
          <w:sz w:val="24"/>
          <w:szCs w:val="24"/>
        </w:rPr>
      </w:pPr>
    </w:p>
    <w:p w:rsidR="00A4731B" w:rsidRDefault="00515A28" w:rsidP="00FB6332">
      <w:pPr>
        <w:spacing w:line="360" w:lineRule="auto"/>
        <w:jc w:val="both"/>
        <w:rPr>
          <w:rFonts w:ascii="Arial" w:hAnsi="Arial" w:cs="Arial"/>
          <w:sz w:val="24"/>
          <w:szCs w:val="24"/>
        </w:rPr>
      </w:pPr>
      <w:r>
        <w:rPr>
          <w:rFonts w:ascii="Arial" w:hAnsi="Arial" w:cs="Arial"/>
          <w:sz w:val="24"/>
          <w:szCs w:val="24"/>
        </w:rPr>
        <w:t>[16</w:t>
      </w:r>
      <w:r w:rsidR="00FB6332">
        <w:rPr>
          <w:rFonts w:ascii="Arial" w:hAnsi="Arial" w:cs="Arial"/>
          <w:sz w:val="24"/>
          <w:szCs w:val="24"/>
        </w:rPr>
        <w:t>]</w:t>
      </w:r>
      <w:r w:rsidR="00FB6332">
        <w:rPr>
          <w:rFonts w:ascii="Arial" w:hAnsi="Arial" w:cs="Arial"/>
          <w:sz w:val="24"/>
          <w:szCs w:val="24"/>
        </w:rPr>
        <w:tab/>
      </w:r>
      <w:r w:rsidR="00FB6332">
        <w:rPr>
          <w:rFonts w:ascii="Arial" w:hAnsi="Arial" w:cs="Arial"/>
          <w:i/>
          <w:sz w:val="24"/>
          <w:szCs w:val="24"/>
        </w:rPr>
        <w:t xml:space="preserve"> </w:t>
      </w:r>
      <w:r w:rsidR="008563FF">
        <w:rPr>
          <w:rFonts w:ascii="Arial" w:hAnsi="Arial" w:cs="Arial"/>
          <w:sz w:val="24"/>
          <w:szCs w:val="24"/>
        </w:rPr>
        <w:t xml:space="preserve">It is a constitutional imperative and fundamental principle of natural justice that parties have the right to be heard before an </w:t>
      </w:r>
      <w:r w:rsidR="002B1F32">
        <w:rPr>
          <w:rFonts w:ascii="Arial" w:hAnsi="Arial" w:cs="Arial"/>
          <w:sz w:val="24"/>
          <w:szCs w:val="24"/>
        </w:rPr>
        <w:t xml:space="preserve">adverse </w:t>
      </w:r>
      <w:r w:rsidR="008563FF">
        <w:rPr>
          <w:rFonts w:ascii="Arial" w:hAnsi="Arial" w:cs="Arial"/>
          <w:sz w:val="24"/>
          <w:szCs w:val="24"/>
        </w:rPr>
        <w:t>order is made against them. Such right finds expression, in POCA matters,</w:t>
      </w:r>
      <w:r w:rsidR="00A4731B">
        <w:rPr>
          <w:rFonts w:ascii="Arial" w:hAnsi="Arial" w:cs="Arial"/>
          <w:sz w:val="24"/>
          <w:szCs w:val="24"/>
        </w:rPr>
        <w:t xml:space="preserve"> albeit is slightly varied form,</w:t>
      </w:r>
      <w:r w:rsidR="008563FF">
        <w:rPr>
          <w:rFonts w:ascii="Arial" w:hAnsi="Arial" w:cs="Arial"/>
          <w:sz w:val="24"/>
          <w:szCs w:val="24"/>
        </w:rPr>
        <w:t xml:space="preserve"> in the provisional nature of preservation orders </w:t>
      </w:r>
      <w:r w:rsidR="005818E1">
        <w:rPr>
          <w:rFonts w:ascii="Arial" w:hAnsi="Arial" w:cs="Arial"/>
          <w:sz w:val="24"/>
          <w:szCs w:val="24"/>
        </w:rPr>
        <w:t xml:space="preserve">granted </w:t>
      </w:r>
      <w:r w:rsidR="005818E1">
        <w:rPr>
          <w:rFonts w:ascii="Arial" w:hAnsi="Arial" w:cs="Arial"/>
          <w:i/>
          <w:sz w:val="24"/>
          <w:szCs w:val="24"/>
        </w:rPr>
        <w:t xml:space="preserve">ex parte </w:t>
      </w:r>
      <w:r w:rsidR="008563FF">
        <w:rPr>
          <w:rFonts w:ascii="Arial" w:hAnsi="Arial" w:cs="Arial"/>
          <w:sz w:val="24"/>
          <w:szCs w:val="24"/>
        </w:rPr>
        <w:t>which are</w:t>
      </w:r>
      <w:r w:rsidR="002B1F32">
        <w:rPr>
          <w:rFonts w:ascii="Arial" w:hAnsi="Arial" w:cs="Arial"/>
          <w:sz w:val="24"/>
          <w:szCs w:val="24"/>
        </w:rPr>
        <w:t>, however,</w:t>
      </w:r>
      <w:r w:rsidR="008563FF">
        <w:rPr>
          <w:rFonts w:ascii="Arial" w:hAnsi="Arial" w:cs="Arial"/>
          <w:sz w:val="24"/>
          <w:szCs w:val="24"/>
        </w:rPr>
        <w:t xml:space="preserve"> subject to bei</w:t>
      </w:r>
      <w:r w:rsidR="005818E1">
        <w:rPr>
          <w:rFonts w:ascii="Arial" w:hAnsi="Arial" w:cs="Arial"/>
          <w:sz w:val="24"/>
          <w:szCs w:val="24"/>
        </w:rPr>
        <w:t xml:space="preserve">ng set aside on application by </w:t>
      </w:r>
      <w:r w:rsidR="008563FF">
        <w:rPr>
          <w:rFonts w:ascii="Arial" w:hAnsi="Arial" w:cs="Arial"/>
          <w:sz w:val="24"/>
          <w:szCs w:val="24"/>
        </w:rPr>
        <w:t xml:space="preserve">affected </w:t>
      </w:r>
      <w:r w:rsidR="005818E1">
        <w:rPr>
          <w:rFonts w:ascii="Arial" w:hAnsi="Arial" w:cs="Arial"/>
          <w:sz w:val="24"/>
          <w:szCs w:val="24"/>
        </w:rPr>
        <w:t>parties</w:t>
      </w:r>
      <w:r w:rsidR="002B1F32">
        <w:rPr>
          <w:rFonts w:ascii="Arial" w:hAnsi="Arial" w:cs="Arial"/>
          <w:sz w:val="24"/>
          <w:szCs w:val="24"/>
        </w:rPr>
        <w:t xml:space="preserve"> in appropriate cases</w:t>
      </w:r>
      <w:r w:rsidR="00A4731B">
        <w:rPr>
          <w:rFonts w:ascii="Arial" w:hAnsi="Arial" w:cs="Arial"/>
          <w:sz w:val="24"/>
          <w:szCs w:val="24"/>
        </w:rPr>
        <w:t>. S</w:t>
      </w:r>
      <w:r w:rsidR="008563FF">
        <w:rPr>
          <w:rFonts w:ascii="Arial" w:hAnsi="Arial" w:cs="Arial"/>
          <w:sz w:val="24"/>
          <w:szCs w:val="24"/>
        </w:rPr>
        <w:t xml:space="preserve"> </w:t>
      </w:r>
      <w:r w:rsidR="00A4731B">
        <w:rPr>
          <w:rFonts w:ascii="Arial" w:hAnsi="Arial" w:cs="Arial"/>
          <w:sz w:val="24"/>
          <w:szCs w:val="24"/>
        </w:rPr>
        <w:t>58 of</w:t>
      </w:r>
      <w:r w:rsidR="000D2800">
        <w:rPr>
          <w:rFonts w:ascii="Arial" w:hAnsi="Arial" w:cs="Arial"/>
          <w:sz w:val="24"/>
          <w:szCs w:val="24"/>
        </w:rPr>
        <w:t xml:space="preserve"> POCA</w:t>
      </w:r>
      <w:r w:rsidR="005818E1">
        <w:rPr>
          <w:rFonts w:ascii="Arial" w:hAnsi="Arial" w:cs="Arial"/>
          <w:sz w:val="24"/>
          <w:szCs w:val="24"/>
        </w:rPr>
        <w:t xml:space="preserve"> expressly provides for such procedure. </w:t>
      </w:r>
    </w:p>
    <w:p w:rsidR="00515A28" w:rsidRDefault="00515A28" w:rsidP="00FB6332">
      <w:pPr>
        <w:spacing w:line="360" w:lineRule="auto"/>
        <w:jc w:val="both"/>
        <w:rPr>
          <w:rFonts w:ascii="Arial" w:hAnsi="Arial" w:cs="Arial"/>
          <w:sz w:val="24"/>
          <w:szCs w:val="24"/>
        </w:rPr>
      </w:pPr>
    </w:p>
    <w:p w:rsidR="00FB6332" w:rsidRDefault="00A4731B" w:rsidP="00FB6332">
      <w:pPr>
        <w:spacing w:line="360" w:lineRule="auto"/>
        <w:jc w:val="both"/>
        <w:rPr>
          <w:rFonts w:ascii="Arial" w:hAnsi="Arial" w:cs="Arial"/>
          <w:sz w:val="24"/>
          <w:szCs w:val="24"/>
        </w:rPr>
      </w:pPr>
      <w:r>
        <w:rPr>
          <w:rFonts w:ascii="Arial" w:hAnsi="Arial" w:cs="Arial"/>
          <w:sz w:val="24"/>
          <w:szCs w:val="24"/>
        </w:rPr>
        <w:t>[</w:t>
      </w:r>
      <w:r w:rsidR="00515A28">
        <w:rPr>
          <w:rFonts w:ascii="Arial" w:hAnsi="Arial" w:cs="Arial"/>
          <w:sz w:val="24"/>
          <w:szCs w:val="24"/>
        </w:rPr>
        <w:t>17</w:t>
      </w:r>
      <w:r>
        <w:rPr>
          <w:rFonts w:ascii="Arial" w:hAnsi="Arial" w:cs="Arial"/>
          <w:sz w:val="24"/>
          <w:szCs w:val="24"/>
        </w:rPr>
        <w:t>]</w:t>
      </w:r>
      <w:r>
        <w:rPr>
          <w:rFonts w:ascii="Arial" w:hAnsi="Arial" w:cs="Arial"/>
          <w:sz w:val="24"/>
          <w:szCs w:val="24"/>
        </w:rPr>
        <w:tab/>
      </w:r>
      <w:r w:rsidR="000D2800">
        <w:rPr>
          <w:rFonts w:ascii="Arial" w:hAnsi="Arial" w:cs="Arial"/>
          <w:sz w:val="24"/>
          <w:szCs w:val="24"/>
        </w:rPr>
        <w:t xml:space="preserve">The applicants, invoking their procedural </w:t>
      </w:r>
      <w:r w:rsidR="000D5C9A">
        <w:rPr>
          <w:rFonts w:ascii="Arial" w:hAnsi="Arial" w:cs="Arial"/>
          <w:sz w:val="24"/>
          <w:szCs w:val="24"/>
        </w:rPr>
        <w:t xml:space="preserve">rights, </w:t>
      </w:r>
      <w:r w:rsidR="00D66C70">
        <w:rPr>
          <w:rFonts w:ascii="Arial" w:hAnsi="Arial" w:cs="Arial"/>
          <w:sz w:val="24"/>
          <w:szCs w:val="24"/>
        </w:rPr>
        <w:t>filed their s</w:t>
      </w:r>
      <w:r w:rsidR="000D2800">
        <w:rPr>
          <w:rFonts w:ascii="Arial" w:hAnsi="Arial" w:cs="Arial"/>
          <w:sz w:val="24"/>
          <w:szCs w:val="24"/>
        </w:rPr>
        <w:t xml:space="preserve"> 52(3) opposition, seeking to both op</w:t>
      </w:r>
      <w:r w:rsidR="002B1F32">
        <w:rPr>
          <w:rFonts w:ascii="Arial" w:hAnsi="Arial" w:cs="Arial"/>
          <w:sz w:val="24"/>
          <w:szCs w:val="24"/>
        </w:rPr>
        <w:t>pose the forfeiture application and further</w:t>
      </w:r>
      <w:r w:rsidR="000D2800">
        <w:rPr>
          <w:rFonts w:ascii="Arial" w:hAnsi="Arial" w:cs="Arial"/>
          <w:sz w:val="24"/>
          <w:szCs w:val="24"/>
        </w:rPr>
        <w:t xml:space="preserve"> applied for an order excluding their interest in the property made subject to the preservation order.</w:t>
      </w:r>
    </w:p>
    <w:p w:rsidR="00A4731B" w:rsidRDefault="00A4731B" w:rsidP="00FB6332">
      <w:pPr>
        <w:spacing w:line="360" w:lineRule="auto"/>
        <w:jc w:val="both"/>
        <w:rPr>
          <w:rFonts w:ascii="Arial" w:hAnsi="Arial" w:cs="Arial"/>
          <w:sz w:val="24"/>
          <w:szCs w:val="24"/>
        </w:rPr>
      </w:pPr>
    </w:p>
    <w:p w:rsidR="007E252E" w:rsidRDefault="00515A28" w:rsidP="00FB6332">
      <w:pPr>
        <w:spacing w:line="360" w:lineRule="auto"/>
        <w:jc w:val="both"/>
        <w:rPr>
          <w:rFonts w:ascii="Arial" w:hAnsi="Arial" w:cs="Arial"/>
          <w:sz w:val="24"/>
          <w:szCs w:val="24"/>
        </w:rPr>
      </w:pPr>
      <w:r w:rsidRPr="004E3F27">
        <w:rPr>
          <w:rFonts w:ascii="Arial" w:hAnsi="Arial" w:cs="Arial"/>
          <w:sz w:val="24"/>
          <w:szCs w:val="24"/>
        </w:rPr>
        <w:t>[18</w:t>
      </w:r>
      <w:r w:rsidR="000D2800" w:rsidRPr="004E3F27">
        <w:rPr>
          <w:rFonts w:ascii="Arial" w:hAnsi="Arial" w:cs="Arial"/>
          <w:sz w:val="24"/>
          <w:szCs w:val="24"/>
        </w:rPr>
        <w:t>]</w:t>
      </w:r>
      <w:r w:rsidR="000D2800" w:rsidRPr="004E3F27">
        <w:rPr>
          <w:rFonts w:ascii="Arial" w:hAnsi="Arial" w:cs="Arial"/>
          <w:sz w:val="24"/>
          <w:szCs w:val="24"/>
        </w:rPr>
        <w:tab/>
      </w:r>
      <w:r w:rsidR="00643B94" w:rsidRPr="004E3F27">
        <w:rPr>
          <w:rFonts w:ascii="Arial" w:hAnsi="Arial" w:cs="Arial"/>
          <w:sz w:val="24"/>
          <w:szCs w:val="24"/>
        </w:rPr>
        <w:t xml:space="preserve">Part 3 </w:t>
      </w:r>
      <w:r w:rsidR="00A4731B" w:rsidRPr="004E3F27">
        <w:rPr>
          <w:rFonts w:ascii="Arial" w:hAnsi="Arial" w:cs="Arial"/>
          <w:sz w:val="24"/>
          <w:szCs w:val="24"/>
        </w:rPr>
        <w:t>of POCA provide</w:t>
      </w:r>
      <w:r w:rsidR="00643B94" w:rsidRPr="004E3F27">
        <w:rPr>
          <w:rFonts w:ascii="Arial" w:hAnsi="Arial" w:cs="Arial"/>
          <w:sz w:val="24"/>
          <w:szCs w:val="24"/>
        </w:rPr>
        <w:t>s the legislative scheme relevant to applications for forfei</w:t>
      </w:r>
      <w:r w:rsidR="00A4731B" w:rsidRPr="004E3F27">
        <w:rPr>
          <w:rFonts w:ascii="Arial" w:hAnsi="Arial" w:cs="Arial"/>
          <w:sz w:val="24"/>
          <w:szCs w:val="24"/>
        </w:rPr>
        <w:t>ture orders. S 59(1),</w:t>
      </w:r>
      <w:r w:rsidR="00643B94" w:rsidRPr="004E3F27">
        <w:rPr>
          <w:rFonts w:ascii="Arial" w:hAnsi="Arial" w:cs="Arial"/>
          <w:sz w:val="24"/>
          <w:szCs w:val="24"/>
        </w:rPr>
        <w:t xml:space="preserve"> provides that the PG may apply for a forfeiture order if a preservation order is </w:t>
      </w:r>
      <w:r w:rsidR="00D66C70" w:rsidRPr="004E3F27">
        <w:rPr>
          <w:rFonts w:ascii="Arial" w:hAnsi="Arial" w:cs="Arial"/>
          <w:sz w:val="24"/>
          <w:szCs w:val="24"/>
        </w:rPr>
        <w:t>in force. It requires at s</w:t>
      </w:r>
      <w:r w:rsidR="00643B94" w:rsidRPr="004E3F27">
        <w:rPr>
          <w:rFonts w:ascii="Arial" w:hAnsi="Arial" w:cs="Arial"/>
          <w:sz w:val="24"/>
          <w:szCs w:val="24"/>
        </w:rPr>
        <w:t xml:space="preserve"> 59(2) of the PG to give notice of such forfeiture application to every person who gave notice in terms of section 52(3). It follows that a person, such as th</w:t>
      </w:r>
      <w:r w:rsidR="00D66C70" w:rsidRPr="004E3F27">
        <w:rPr>
          <w:rFonts w:ascii="Arial" w:hAnsi="Arial" w:cs="Arial"/>
          <w:sz w:val="24"/>
          <w:szCs w:val="24"/>
        </w:rPr>
        <w:t>e applicants, who gave a s</w:t>
      </w:r>
      <w:r w:rsidR="00643B94" w:rsidRPr="004E3F27">
        <w:rPr>
          <w:rFonts w:ascii="Arial" w:hAnsi="Arial" w:cs="Arial"/>
          <w:sz w:val="24"/>
          <w:szCs w:val="24"/>
        </w:rPr>
        <w:t xml:space="preserve"> 52(3) notice</w:t>
      </w:r>
      <w:r w:rsidR="00A4731B" w:rsidRPr="004E3F27">
        <w:rPr>
          <w:rFonts w:ascii="Arial" w:hAnsi="Arial" w:cs="Arial"/>
          <w:sz w:val="24"/>
          <w:szCs w:val="24"/>
        </w:rPr>
        <w:t>,</w:t>
      </w:r>
      <w:r w:rsidR="00643B94" w:rsidRPr="004E3F27">
        <w:rPr>
          <w:rFonts w:ascii="Arial" w:hAnsi="Arial" w:cs="Arial"/>
          <w:sz w:val="24"/>
          <w:szCs w:val="24"/>
        </w:rPr>
        <w:t xml:space="preserve"> is entitled </w:t>
      </w:r>
      <w:r w:rsidR="00A4731B" w:rsidRPr="004E3F27">
        <w:rPr>
          <w:rFonts w:ascii="Arial" w:hAnsi="Arial" w:cs="Arial"/>
          <w:sz w:val="24"/>
          <w:szCs w:val="24"/>
        </w:rPr>
        <w:t xml:space="preserve">as of right, </w:t>
      </w:r>
      <w:r w:rsidR="00643B94" w:rsidRPr="004E3F27">
        <w:rPr>
          <w:rFonts w:ascii="Arial" w:hAnsi="Arial" w:cs="Arial"/>
          <w:sz w:val="24"/>
          <w:szCs w:val="24"/>
        </w:rPr>
        <w:t xml:space="preserve">to receive notice </w:t>
      </w:r>
      <w:r w:rsidR="007E252E" w:rsidRPr="004E3F27">
        <w:rPr>
          <w:rFonts w:ascii="Arial" w:hAnsi="Arial" w:cs="Arial"/>
          <w:sz w:val="24"/>
          <w:szCs w:val="24"/>
        </w:rPr>
        <w:t xml:space="preserve">of a forfeiture application </w:t>
      </w:r>
      <w:r w:rsidR="00D66C70" w:rsidRPr="004E3F27">
        <w:rPr>
          <w:rFonts w:ascii="Arial" w:hAnsi="Arial" w:cs="Arial"/>
          <w:sz w:val="24"/>
          <w:szCs w:val="24"/>
        </w:rPr>
        <w:t>under s</w:t>
      </w:r>
      <w:r w:rsidR="00643B94" w:rsidRPr="004E3F27">
        <w:rPr>
          <w:rFonts w:ascii="Arial" w:hAnsi="Arial" w:cs="Arial"/>
          <w:sz w:val="24"/>
          <w:szCs w:val="24"/>
        </w:rPr>
        <w:t xml:space="preserve"> 59(2)</w:t>
      </w:r>
      <w:r w:rsidR="007E252E" w:rsidRPr="004E3F27">
        <w:rPr>
          <w:rFonts w:ascii="Arial" w:hAnsi="Arial" w:cs="Arial"/>
          <w:sz w:val="24"/>
          <w:szCs w:val="24"/>
        </w:rPr>
        <w:t>. Such notice is not without consequence as the recipient</w:t>
      </w:r>
      <w:r w:rsidR="00D66C70" w:rsidRPr="004E3F27">
        <w:rPr>
          <w:rFonts w:ascii="Arial" w:hAnsi="Arial" w:cs="Arial"/>
          <w:sz w:val="24"/>
          <w:szCs w:val="24"/>
        </w:rPr>
        <w:t xml:space="preserve"> may, as provided for in s</w:t>
      </w:r>
      <w:r w:rsidR="007E252E" w:rsidRPr="004E3F27">
        <w:rPr>
          <w:rFonts w:ascii="Arial" w:hAnsi="Arial" w:cs="Arial"/>
          <w:sz w:val="24"/>
          <w:szCs w:val="24"/>
        </w:rPr>
        <w:t xml:space="preserve"> 59(4), either oppose the forfeiture application or apply for exclusion</w:t>
      </w:r>
      <w:r w:rsidR="00A4731B" w:rsidRPr="004E3F27">
        <w:rPr>
          <w:rFonts w:ascii="Arial" w:hAnsi="Arial" w:cs="Arial"/>
          <w:sz w:val="24"/>
          <w:szCs w:val="24"/>
        </w:rPr>
        <w:t xml:space="preserve"> of his or her interest</w:t>
      </w:r>
      <w:r w:rsidR="007E252E" w:rsidRPr="004E3F27">
        <w:rPr>
          <w:rFonts w:ascii="Arial" w:hAnsi="Arial" w:cs="Arial"/>
          <w:sz w:val="24"/>
          <w:szCs w:val="24"/>
        </w:rPr>
        <w:t xml:space="preserve"> or variation</w:t>
      </w:r>
      <w:r w:rsidR="00A4731B" w:rsidRPr="004E3F27">
        <w:rPr>
          <w:rFonts w:ascii="Arial" w:hAnsi="Arial" w:cs="Arial"/>
          <w:sz w:val="24"/>
          <w:szCs w:val="24"/>
        </w:rPr>
        <w:t xml:space="preserve"> of the order in relation to the property</w:t>
      </w:r>
      <w:r w:rsidR="007E252E" w:rsidRPr="004E3F27">
        <w:rPr>
          <w:rFonts w:ascii="Arial" w:hAnsi="Arial" w:cs="Arial"/>
          <w:sz w:val="24"/>
          <w:szCs w:val="24"/>
        </w:rPr>
        <w:t>.</w:t>
      </w:r>
      <w:r w:rsidR="007E252E">
        <w:rPr>
          <w:rFonts w:ascii="Arial" w:hAnsi="Arial" w:cs="Arial"/>
          <w:sz w:val="24"/>
          <w:szCs w:val="24"/>
        </w:rPr>
        <w:t xml:space="preserve"> </w:t>
      </w:r>
    </w:p>
    <w:p w:rsidR="00A4731B" w:rsidRDefault="00A4731B" w:rsidP="00FB6332">
      <w:pPr>
        <w:spacing w:line="360" w:lineRule="auto"/>
        <w:jc w:val="both"/>
        <w:rPr>
          <w:rFonts w:ascii="Arial" w:hAnsi="Arial" w:cs="Arial"/>
          <w:sz w:val="24"/>
          <w:szCs w:val="24"/>
        </w:rPr>
      </w:pPr>
    </w:p>
    <w:p w:rsidR="007E252E" w:rsidRPr="007E252E" w:rsidRDefault="00515A28" w:rsidP="00FB6332">
      <w:pPr>
        <w:spacing w:line="360" w:lineRule="auto"/>
        <w:jc w:val="both"/>
        <w:rPr>
          <w:rFonts w:ascii="Arial" w:hAnsi="Arial" w:cs="Arial"/>
          <w:i/>
          <w:sz w:val="24"/>
          <w:szCs w:val="24"/>
        </w:rPr>
      </w:pPr>
      <w:r>
        <w:rPr>
          <w:rFonts w:ascii="Arial" w:hAnsi="Arial" w:cs="Arial"/>
          <w:sz w:val="24"/>
          <w:szCs w:val="24"/>
        </w:rPr>
        <w:lastRenderedPageBreak/>
        <w:t>[19</w:t>
      </w:r>
      <w:r w:rsidR="007E252E">
        <w:rPr>
          <w:rFonts w:ascii="Arial" w:hAnsi="Arial" w:cs="Arial"/>
          <w:sz w:val="24"/>
          <w:szCs w:val="24"/>
        </w:rPr>
        <w:t>]</w:t>
      </w:r>
      <w:r w:rsidR="007E252E">
        <w:rPr>
          <w:rFonts w:ascii="Arial" w:hAnsi="Arial" w:cs="Arial"/>
          <w:sz w:val="24"/>
          <w:szCs w:val="24"/>
        </w:rPr>
        <w:tab/>
        <w:t xml:space="preserve">Section 59(4) provides: </w:t>
      </w:r>
      <w:r w:rsidR="007E252E" w:rsidRPr="007E252E">
        <w:rPr>
          <w:rFonts w:ascii="Arial" w:hAnsi="Arial" w:cs="Arial"/>
          <w:i/>
          <w:sz w:val="24"/>
          <w:szCs w:val="24"/>
        </w:rPr>
        <w:t xml:space="preserve">Any person who gave notice in terms of section 52(3) may – </w:t>
      </w:r>
    </w:p>
    <w:p w:rsidR="007E252E" w:rsidRDefault="007E252E" w:rsidP="00FB6332">
      <w:pPr>
        <w:spacing w:line="360" w:lineRule="auto"/>
        <w:jc w:val="both"/>
        <w:rPr>
          <w:rFonts w:ascii="Arial" w:hAnsi="Arial" w:cs="Arial"/>
          <w:i/>
          <w:sz w:val="24"/>
          <w:szCs w:val="24"/>
        </w:rPr>
      </w:pPr>
      <w:r w:rsidRPr="007E252E">
        <w:rPr>
          <w:rFonts w:ascii="Arial" w:hAnsi="Arial" w:cs="Arial"/>
          <w:i/>
          <w:sz w:val="24"/>
          <w:szCs w:val="24"/>
        </w:rPr>
        <w:tab/>
        <w:t xml:space="preserve">(a) </w:t>
      </w:r>
      <w:r>
        <w:rPr>
          <w:rFonts w:ascii="Arial" w:hAnsi="Arial" w:cs="Arial"/>
          <w:i/>
          <w:sz w:val="24"/>
          <w:szCs w:val="24"/>
        </w:rPr>
        <w:t>oppose the making of the order, or</w:t>
      </w:r>
    </w:p>
    <w:p w:rsidR="007E252E" w:rsidRDefault="007E252E" w:rsidP="00FB6332">
      <w:pPr>
        <w:spacing w:line="360" w:lineRule="auto"/>
        <w:jc w:val="both"/>
        <w:rPr>
          <w:rFonts w:ascii="Arial" w:hAnsi="Arial" w:cs="Arial"/>
          <w:i/>
          <w:sz w:val="24"/>
          <w:szCs w:val="24"/>
        </w:rPr>
      </w:pPr>
      <w:r>
        <w:rPr>
          <w:rFonts w:ascii="Arial" w:hAnsi="Arial" w:cs="Arial"/>
          <w:i/>
          <w:sz w:val="24"/>
          <w:szCs w:val="24"/>
        </w:rPr>
        <w:tab/>
        <w:t xml:space="preserve">(b) apply for an order – </w:t>
      </w:r>
    </w:p>
    <w:p w:rsidR="007E252E" w:rsidRDefault="007E252E" w:rsidP="007E252E">
      <w:pPr>
        <w:spacing w:line="360" w:lineRule="auto"/>
        <w:ind w:left="1440"/>
        <w:jc w:val="both"/>
        <w:rPr>
          <w:rFonts w:ascii="Arial" w:hAnsi="Arial" w:cs="Arial"/>
          <w:i/>
          <w:sz w:val="24"/>
          <w:szCs w:val="24"/>
        </w:rPr>
      </w:pPr>
      <w:r>
        <w:rPr>
          <w:rFonts w:ascii="Arial" w:hAnsi="Arial" w:cs="Arial"/>
          <w:i/>
          <w:sz w:val="24"/>
          <w:szCs w:val="24"/>
        </w:rPr>
        <w:t>(i) excluding his or her interest in that property from the operation of the order; or</w:t>
      </w:r>
    </w:p>
    <w:p w:rsidR="007E252E" w:rsidRDefault="007E252E" w:rsidP="007E252E">
      <w:pPr>
        <w:spacing w:line="360" w:lineRule="auto"/>
        <w:ind w:left="1440"/>
        <w:jc w:val="both"/>
        <w:rPr>
          <w:rFonts w:ascii="Arial" w:hAnsi="Arial" w:cs="Arial"/>
          <w:i/>
          <w:sz w:val="24"/>
          <w:szCs w:val="24"/>
        </w:rPr>
      </w:pPr>
      <w:r>
        <w:rPr>
          <w:rFonts w:ascii="Arial" w:hAnsi="Arial" w:cs="Arial"/>
          <w:i/>
          <w:sz w:val="24"/>
          <w:szCs w:val="24"/>
        </w:rPr>
        <w:t xml:space="preserve">(ii) varying the operation of the order in respect of that property. </w:t>
      </w:r>
    </w:p>
    <w:p w:rsidR="00A4731B" w:rsidRDefault="00A4731B" w:rsidP="007E252E">
      <w:pPr>
        <w:spacing w:line="360" w:lineRule="auto"/>
        <w:ind w:left="1440"/>
        <w:jc w:val="both"/>
        <w:rPr>
          <w:rFonts w:ascii="Arial" w:hAnsi="Arial" w:cs="Arial"/>
          <w:sz w:val="24"/>
          <w:szCs w:val="24"/>
        </w:rPr>
      </w:pPr>
    </w:p>
    <w:p w:rsidR="002E3393" w:rsidRDefault="00515A28" w:rsidP="002E3393">
      <w:pPr>
        <w:spacing w:line="360" w:lineRule="auto"/>
        <w:jc w:val="both"/>
        <w:rPr>
          <w:rFonts w:ascii="Arial" w:hAnsi="Arial" w:cs="Arial"/>
          <w:sz w:val="24"/>
          <w:szCs w:val="24"/>
        </w:rPr>
      </w:pPr>
      <w:r>
        <w:rPr>
          <w:rFonts w:ascii="Arial" w:hAnsi="Arial" w:cs="Arial"/>
          <w:sz w:val="24"/>
          <w:szCs w:val="24"/>
        </w:rPr>
        <w:t>[20</w:t>
      </w:r>
      <w:r w:rsidR="002E3393">
        <w:rPr>
          <w:rFonts w:ascii="Arial" w:hAnsi="Arial" w:cs="Arial"/>
          <w:sz w:val="24"/>
          <w:szCs w:val="24"/>
        </w:rPr>
        <w:t>]</w:t>
      </w:r>
      <w:r w:rsidR="002E3393">
        <w:rPr>
          <w:rFonts w:ascii="Arial" w:hAnsi="Arial" w:cs="Arial"/>
          <w:sz w:val="24"/>
          <w:szCs w:val="24"/>
        </w:rPr>
        <w:tab/>
        <w:t xml:space="preserve">Acceptance of an argument that a </w:t>
      </w:r>
      <w:r w:rsidR="00D66C70">
        <w:rPr>
          <w:rFonts w:ascii="Arial" w:hAnsi="Arial" w:cs="Arial"/>
          <w:sz w:val="24"/>
          <w:szCs w:val="24"/>
        </w:rPr>
        <w:t>s</w:t>
      </w:r>
      <w:r w:rsidR="002E3393">
        <w:rPr>
          <w:rFonts w:ascii="Arial" w:hAnsi="Arial" w:cs="Arial"/>
          <w:sz w:val="24"/>
          <w:szCs w:val="24"/>
        </w:rPr>
        <w:t xml:space="preserve"> 52(3) notice of opposition is sufficie</w:t>
      </w:r>
      <w:r w:rsidR="00D66C70">
        <w:rPr>
          <w:rFonts w:ascii="Arial" w:hAnsi="Arial" w:cs="Arial"/>
          <w:sz w:val="24"/>
          <w:szCs w:val="24"/>
        </w:rPr>
        <w:t>nt for the purposes of a s</w:t>
      </w:r>
      <w:r w:rsidR="002E3393">
        <w:rPr>
          <w:rFonts w:ascii="Arial" w:hAnsi="Arial" w:cs="Arial"/>
          <w:sz w:val="24"/>
          <w:szCs w:val="24"/>
        </w:rPr>
        <w:t xml:space="preserve"> 59(1) application not o</w:t>
      </w:r>
      <w:r w:rsidR="00D66C70">
        <w:rPr>
          <w:rFonts w:ascii="Arial" w:hAnsi="Arial" w:cs="Arial"/>
          <w:sz w:val="24"/>
          <w:szCs w:val="24"/>
        </w:rPr>
        <w:t>nly renders nugatory the s 52(6) limitation and the s</w:t>
      </w:r>
      <w:r w:rsidR="002E3393">
        <w:rPr>
          <w:rFonts w:ascii="Arial" w:hAnsi="Arial" w:cs="Arial"/>
          <w:sz w:val="24"/>
          <w:szCs w:val="24"/>
        </w:rPr>
        <w:t xml:space="preserve"> 59(2) notice requirement</w:t>
      </w:r>
      <w:r w:rsidR="00D66C70">
        <w:rPr>
          <w:rFonts w:ascii="Arial" w:hAnsi="Arial" w:cs="Arial"/>
          <w:sz w:val="24"/>
          <w:szCs w:val="24"/>
        </w:rPr>
        <w:t>,</w:t>
      </w:r>
      <w:r w:rsidR="002E3393">
        <w:rPr>
          <w:rFonts w:ascii="Arial" w:hAnsi="Arial" w:cs="Arial"/>
          <w:sz w:val="24"/>
          <w:szCs w:val="24"/>
        </w:rPr>
        <w:t xml:space="preserve"> b</w:t>
      </w:r>
      <w:r w:rsidR="008A476C">
        <w:rPr>
          <w:rFonts w:ascii="Arial" w:hAnsi="Arial" w:cs="Arial"/>
          <w:sz w:val="24"/>
          <w:szCs w:val="24"/>
        </w:rPr>
        <w:t>ut stands in stark contrast to</w:t>
      </w:r>
      <w:r w:rsidR="002E3393">
        <w:rPr>
          <w:rFonts w:ascii="Arial" w:hAnsi="Arial" w:cs="Arial"/>
          <w:sz w:val="24"/>
          <w:szCs w:val="24"/>
        </w:rPr>
        <w:t xml:space="preserve"> the essential rights afforded </w:t>
      </w:r>
      <w:r w:rsidR="00D66C70">
        <w:rPr>
          <w:rFonts w:ascii="Arial" w:hAnsi="Arial" w:cs="Arial"/>
          <w:sz w:val="24"/>
          <w:szCs w:val="24"/>
        </w:rPr>
        <w:t>to a respondent in terms of s</w:t>
      </w:r>
      <w:r w:rsidR="002E3393">
        <w:rPr>
          <w:rFonts w:ascii="Arial" w:hAnsi="Arial" w:cs="Arial"/>
          <w:sz w:val="24"/>
          <w:szCs w:val="24"/>
        </w:rPr>
        <w:t xml:space="preserve"> 59(4). The applic</w:t>
      </w:r>
      <w:r w:rsidR="00D66C70">
        <w:rPr>
          <w:rFonts w:ascii="Arial" w:hAnsi="Arial" w:cs="Arial"/>
          <w:sz w:val="24"/>
          <w:szCs w:val="24"/>
        </w:rPr>
        <w:t>ants, having filed their s</w:t>
      </w:r>
      <w:r w:rsidR="002E3393">
        <w:rPr>
          <w:rFonts w:ascii="Arial" w:hAnsi="Arial" w:cs="Arial"/>
          <w:sz w:val="24"/>
          <w:szCs w:val="24"/>
        </w:rPr>
        <w:t xml:space="preserve"> 52(3) oppositio</w:t>
      </w:r>
      <w:r w:rsidR="00D66C70">
        <w:rPr>
          <w:rFonts w:ascii="Arial" w:hAnsi="Arial" w:cs="Arial"/>
          <w:sz w:val="24"/>
          <w:szCs w:val="24"/>
        </w:rPr>
        <w:t>n, became entitled under s</w:t>
      </w:r>
      <w:r w:rsidR="002E3393">
        <w:rPr>
          <w:rFonts w:ascii="Arial" w:hAnsi="Arial" w:cs="Arial"/>
          <w:sz w:val="24"/>
          <w:szCs w:val="24"/>
        </w:rPr>
        <w:t xml:space="preserve"> 59(4) to elect one of the optional remedies.</w:t>
      </w:r>
      <w:r w:rsidR="00187D8B">
        <w:rPr>
          <w:rFonts w:ascii="Arial" w:hAnsi="Arial" w:cs="Arial"/>
          <w:sz w:val="24"/>
          <w:szCs w:val="24"/>
        </w:rPr>
        <w:t xml:space="preserve"> I may add </w:t>
      </w:r>
      <w:r w:rsidR="00D66C70">
        <w:rPr>
          <w:rFonts w:ascii="Arial" w:hAnsi="Arial" w:cs="Arial"/>
          <w:sz w:val="24"/>
          <w:szCs w:val="24"/>
        </w:rPr>
        <w:t>that a failure to file a s</w:t>
      </w:r>
      <w:r w:rsidR="00187D8B">
        <w:rPr>
          <w:rFonts w:ascii="Arial" w:hAnsi="Arial" w:cs="Arial"/>
          <w:sz w:val="24"/>
          <w:szCs w:val="24"/>
        </w:rPr>
        <w:t xml:space="preserve"> 52(3) notice has a crippling effect on a respondent in that it not only disentitles him or he</w:t>
      </w:r>
      <w:r w:rsidR="00D66C70">
        <w:rPr>
          <w:rFonts w:ascii="Arial" w:hAnsi="Arial" w:cs="Arial"/>
          <w:sz w:val="24"/>
          <w:szCs w:val="24"/>
        </w:rPr>
        <w:t>r to receive notice of a s</w:t>
      </w:r>
      <w:r w:rsidR="00187D8B">
        <w:rPr>
          <w:rFonts w:ascii="Arial" w:hAnsi="Arial" w:cs="Arial"/>
          <w:sz w:val="24"/>
          <w:szCs w:val="24"/>
        </w:rPr>
        <w:t xml:space="preserve"> 59(1) application, but also effectively deprives</w:t>
      </w:r>
      <w:r w:rsidR="00D66C70">
        <w:rPr>
          <w:rFonts w:ascii="Arial" w:hAnsi="Arial" w:cs="Arial"/>
          <w:sz w:val="24"/>
          <w:szCs w:val="24"/>
        </w:rPr>
        <w:t xml:space="preserve"> such person, subject to s</w:t>
      </w:r>
      <w:r w:rsidR="00187D8B">
        <w:rPr>
          <w:rFonts w:ascii="Arial" w:hAnsi="Arial" w:cs="Arial"/>
          <w:sz w:val="24"/>
          <w:szCs w:val="24"/>
        </w:rPr>
        <w:t xml:space="preserve"> 60, from participating in the forfeiture proceedings. </w:t>
      </w:r>
    </w:p>
    <w:p w:rsidR="00A4731B" w:rsidRDefault="00A4731B" w:rsidP="002E3393">
      <w:pPr>
        <w:spacing w:line="360" w:lineRule="auto"/>
        <w:jc w:val="both"/>
        <w:rPr>
          <w:rFonts w:ascii="Arial" w:hAnsi="Arial" w:cs="Arial"/>
          <w:sz w:val="24"/>
          <w:szCs w:val="24"/>
        </w:rPr>
      </w:pPr>
    </w:p>
    <w:p w:rsidR="00ED6A0E" w:rsidRDefault="00515A28" w:rsidP="002E3393">
      <w:pPr>
        <w:spacing w:line="360" w:lineRule="auto"/>
        <w:jc w:val="both"/>
        <w:rPr>
          <w:rFonts w:ascii="Arial" w:hAnsi="Arial" w:cs="Arial"/>
          <w:sz w:val="24"/>
          <w:szCs w:val="24"/>
        </w:rPr>
      </w:pPr>
      <w:r>
        <w:rPr>
          <w:rFonts w:ascii="Arial" w:hAnsi="Arial" w:cs="Arial"/>
          <w:sz w:val="24"/>
          <w:szCs w:val="24"/>
        </w:rPr>
        <w:t>[21</w:t>
      </w:r>
      <w:r w:rsidR="002E3393">
        <w:rPr>
          <w:rFonts w:ascii="Arial" w:hAnsi="Arial" w:cs="Arial"/>
          <w:sz w:val="24"/>
          <w:szCs w:val="24"/>
        </w:rPr>
        <w:t>]</w:t>
      </w:r>
      <w:r w:rsidR="002E3393">
        <w:rPr>
          <w:rFonts w:ascii="Arial" w:hAnsi="Arial" w:cs="Arial"/>
          <w:sz w:val="24"/>
          <w:szCs w:val="24"/>
        </w:rPr>
        <w:tab/>
        <w:t>It irrefragably follows that a respondent</w:t>
      </w:r>
      <w:r w:rsidR="00A4731B">
        <w:rPr>
          <w:rFonts w:ascii="Arial" w:hAnsi="Arial" w:cs="Arial"/>
          <w:sz w:val="24"/>
          <w:szCs w:val="24"/>
        </w:rPr>
        <w:t>,</w:t>
      </w:r>
      <w:r w:rsidR="002E3393">
        <w:rPr>
          <w:rFonts w:ascii="Arial" w:hAnsi="Arial" w:cs="Arial"/>
          <w:sz w:val="24"/>
          <w:szCs w:val="24"/>
        </w:rPr>
        <w:t xml:space="preserve"> who fails to elect either </w:t>
      </w:r>
      <w:r w:rsidR="00D66C70">
        <w:rPr>
          <w:rFonts w:ascii="Arial" w:hAnsi="Arial" w:cs="Arial"/>
          <w:sz w:val="24"/>
          <w:szCs w:val="24"/>
        </w:rPr>
        <w:t>of the s</w:t>
      </w:r>
      <w:r w:rsidR="00187D8B">
        <w:rPr>
          <w:rFonts w:ascii="Arial" w:hAnsi="Arial" w:cs="Arial"/>
          <w:sz w:val="24"/>
          <w:szCs w:val="24"/>
        </w:rPr>
        <w:t xml:space="preserve"> 59(4) optional remedies</w:t>
      </w:r>
      <w:r w:rsidR="002E3393">
        <w:rPr>
          <w:rFonts w:ascii="Arial" w:hAnsi="Arial" w:cs="Arial"/>
          <w:sz w:val="24"/>
          <w:szCs w:val="24"/>
        </w:rPr>
        <w:t xml:space="preserve"> </w:t>
      </w:r>
      <w:r w:rsidR="007F7233">
        <w:rPr>
          <w:rFonts w:ascii="Arial" w:hAnsi="Arial" w:cs="Arial"/>
          <w:sz w:val="24"/>
          <w:szCs w:val="24"/>
        </w:rPr>
        <w:t>may</w:t>
      </w:r>
      <w:r w:rsidR="00187D8B">
        <w:rPr>
          <w:rFonts w:ascii="Arial" w:hAnsi="Arial" w:cs="Arial"/>
          <w:sz w:val="24"/>
          <w:szCs w:val="24"/>
        </w:rPr>
        <w:t xml:space="preserve"> </w:t>
      </w:r>
      <w:r w:rsidR="00D66C70">
        <w:rPr>
          <w:rFonts w:ascii="Arial" w:hAnsi="Arial" w:cs="Arial"/>
          <w:sz w:val="24"/>
          <w:szCs w:val="24"/>
        </w:rPr>
        <w:t>yield an unopposed s</w:t>
      </w:r>
      <w:r w:rsidR="002E3393">
        <w:rPr>
          <w:rFonts w:ascii="Arial" w:hAnsi="Arial" w:cs="Arial"/>
          <w:sz w:val="24"/>
          <w:szCs w:val="24"/>
        </w:rPr>
        <w:t xml:space="preserve"> 59(1) application for forfeiture. </w:t>
      </w:r>
      <w:r w:rsidR="00ED6A0E">
        <w:rPr>
          <w:rFonts w:ascii="Arial" w:hAnsi="Arial" w:cs="Arial"/>
          <w:sz w:val="24"/>
          <w:szCs w:val="24"/>
        </w:rPr>
        <w:t xml:space="preserve">Section 59(4) does not state when the election must be exercised. </w:t>
      </w:r>
      <w:r w:rsidR="00EC7B47">
        <w:rPr>
          <w:rFonts w:ascii="Arial" w:hAnsi="Arial" w:cs="Arial"/>
          <w:sz w:val="24"/>
          <w:szCs w:val="24"/>
        </w:rPr>
        <w:t>Both counsel, correctly in my view, accepted that rule 65(1) of the rules of this court apply where an</w:t>
      </w:r>
      <w:r w:rsidR="00D66C70">
        <w:rPr>
          <w:rFonts w:ascii="Arial" w:hAnsi="Arial" w:cs="Arial"/>
          <w:sz w:val="24"/>
          <w:szCs w:val="24"/>
        </w:rPr>
        <w:t xml:space="preserve"> application in terms of s</w:t>
      </w:r>
      <w:r w:rsidR="00EC7B47">
        <w:rPr>
          <w:rFonts w:ascii="Arial" w:hAnsi="Arial" w:cs="Arial"/>
          <w:sz w:val="24"/>
          <w:szCs w:val="24"/>
        </w:rPr>
        <w:t xml:space="preserve"> 59 POCA is launched. </w:t>
      </w:r>
    </w:p>
    <w:p w:rsidR="00A4731B" w:rsidRDefault="00A4731B" w:rsidP="002E3393">
      <w:pPr>
        <w:spacing w:line="360" w:lineRule="auto"/>
        <w:jc w:val="both"/>
        <w:rPr>
          <w:rFonts w:ascii="Arial" w:hAnsi="Arial" w:cs="Arial"/>
          <w:sz w:val="24"/>
          <w:szCs w:val="24"/>
        </w:rPr>
      </w:pPr>
    </w:p>
    <w:p w:rsidR="00515A28" w:rsidRDefault="00515A28" w:rsidP="002E3393">
      <w:pPr>
        <w:spacing w:line="360" w:lineRule="auto"/>
        <w:jc w:val="both"/>
        <w:rPr>
          <w:rFonts w:ascii="Arial" w:hAnsi="Arial" w:cs="Arial"/>
          <w:sz w:val="24"/>
          <w:szCs w:val="24"/>
        </w:rPr>
      </w:pPr>
      <w:r>
        <w:rPr>
          <w:rFonts w:ascii="Arial" w:hAnsi="Arial" w:cs="Arial"/>
          <w:sz w:val="24"/>
          <w:szCs w:val="24"/>
        </w:rPr>
        <w:t>[22</w:t>
      </w:r>
      <w:r w:rsidR="00EC7B47">
        <w:rPr>
          <w:rFonts w:ascii="Arial" w:hAnsi="Arial" w:cs="Arial"/>
          <w:sz w:val="24"/>
          <w:szCs w:val="24"/>
        </w:rPr>
        <w:t>]</w:t>
      </w:r>
      <w:r w:rsidR="00EC7B47">
        <w:rPr>
          <w:rFonts w:ascii="Arial" w:hAnsi="Arial" w:cs="Arial"/>
          <w:sz w:val="24"/>
          <w:szCs w:val="24"/>
        </w:rPr>
        <w:tab/>
        <w:t>I</w:t>
      </w:r>
      <w:r w:rsidR="000D4F1A">
        <w:rPr>
          <w:rFonts w:ascii="Arial" w:hAnsi="Arial" w:cs="Arial"/>
          <w:sz w:val="24"/>
          <w:szCs w:val="24"/>
        </w:rPr>
        <w:t xml:space="preserve">n a recent judgment </w:t>
      </w:r>
      <w:r>
        <w:rPr>
          <w:rFonts w:ascii="Arial" w:hAnsi="Arial" w:cs="Arial"/>
          <w:sz w:val="24"/>
          <w:szCs w:val="24"/>
        </w:rPr>
        <w:t>the</w:t>
      </w:r>
      <w:r w:rsidR="00EC7B47">
        <w:rPr>
          <w:rFonts w:ascii="Arial" w:hAnsi="Arial" w:cs="Arial"/>
          <w:sz w:val="24"/>
          <w:szCs w:val="24"/>
        </w:rPr>
        <w:t xml:space="preserve"> Supreme Court</w:t>
      </w:r>
      <w:r>
        <w:rPr>
          <w:rFonts w:ascii="Arial" w:hAnsi="Arial" w:cs="Arial"/>
          <w:sz w:val="24"/>
          <w:szCs w:val="24"/>
        </w:rPr>
        <w:t>,</w:t>
      </w:r>
      <w:r w:rsidR="00EC7B47">
        <w:rPr>
          <w:rFonts w:ascii="Arial" w:hAnsi="Arial" w:cs="Arial"/>
          <w:sz w:val="24"/>
          <w:szCs w:val="24"/>
        </w:rPr>
        <w:t xml:space="preserve"> in the matter of </w:t>
      </w:r>
      <w:r w:rsidR="000D4F1A">
        <w:rPr>
          <w:rFonts w:ascii="Arial" w:hAnsi="Arial" w:cs="Arial"/>
          <w:i/>
          <w:sz w:val="24"/>
          <w:szCs w:val="24"/>
        </w:rPr>
        <w:t>Prosecutor – General v Kamunguma</w:t>
      </w:r>
      <w:r w:rsidR="000D4F1A">
        <w:rPr>
          <w:rStyle w:val="FootnoteReference"/>
          <w:rFonts w:ascii="Arial" w:hAnsi="Arial" w:cs="Arial"/>
          <w:i/>
          <w:sz w:val="24"/>
          <w:szCs w:val="24"/>
        </w:rPr>
        <w:footnoteReference w:id="3"/>
      </w:r>
      <w:r>
        <w:rPr>
          <w:rFonts w:ascii="Arial" w:hAnsi="Arial" w:cs="Arial"/>
          <w:sz w:val="24"/>
          <w:szCs w:val="24"/>
        </w:rPr>
        <w:t>,</w:t>
      </w:r>
      <w:r w:rsidR="000D4F1A">
        <w:rPr>
          <w:rFonts w:ascii="Arial" w:hAnsi="Arial" w:cs="Arial"/>
          <w:i/>
          <w:sz w:val="24"/>
          <w:szCs w:val="24"/>
        </w:rPr>
        <w:t xml:space="preserve"> </w:t>
      </w:r>
      <w:r w:rsidR="000D4F1A">
        <w:rPr>
          <w:rFonts w:ascii="Arial" w:hAnsi="Arial" w:cs="Arial"/>
          <w:sz w:val="24"/>
          <w:szCs w:val="24"/>
        </w:rPr>
        <w:t>held</w:t>
      </w:r>
      <w:r>
        <w:rPr>
          <w:rFonts w:ascii="Arial" w:hAnsi="Arial" w:cs="Arial"/>
          <w:sz w:val="24"/>
          <w:szCs w:val="24"/>
        </w:rPr>
        <w:t xml:space="preserve"> that</w:t>
      </w:r>
      <w:r w:rsidR="000D4F1A">
        <w:rPr>
          <w:rFonts w:ascii="Arial" w:hAnsi="Arial" w:cs="Arial"/>
          <w:sz w:val="24"/>
          <w:szCs w:val="24"/>
        </w:rPr>
        <w:t>:</w:t>
      </w:r>
    </w:p>
    <w:p w:rsidR="00EC7B47" w:rsidRPr="000D4F1A" w:rsidRDefault="000D4F1A" w:rsidP="002E3393">
      <w:pPr>
        <w:spacing w:line="360" w:lineRule="auto"/>
        <w:jc w:val="both"/>
        <w:rPr>
          <w:rFonts w:ascii="Arial" w:hAnsi="Arial" w:cs="Arial"/>
          <w:sz w:val="24"/>
          <w:szCs w:val="24"/>
        </w:rPr>
      </w:pPr>
      <w:r>
        <w:rPr>
          <w:rFonts w:ascii="Arial" w:hAnsi="Arial" w:cs="Arial"/>
          <w:sz w:val="24"/>
          <w:szCs w:val="24"/>
        </w:rPr>
        <w:t xml:space="preserve"> </w:t>
      </w:r>
    </w:p>
    <w:p w:rsidR="00EC7B47" w:rsidRDefault="00EC7B47" w:rsidP="00515A28">
      <w:pPr>
        <w:spacing w:line="360" w:lineRule="auto"/>
        <w:ind w:firstLine="720"/>
        <w:jc w:val="both"/>
        <w:rPr>
          <w:rFonts w:ascii="Arial" w:hAnsi="Arial" w:cs="Arial"/>
        </w:rPr>
      </w:pPr>
      <w:r w:rsidRPr="00A4731B">
        <w:rPr>
          <w:rFonts w:ascii="Arial" w:hAnsi="Arial" w:cs="Arial"/>
        </w:rPr>
        <w:t xml:space="preserve">[36] It is of course correct, as counsel for the respondents argued and the court below reasoned, that affidavits by the PG in support of applications under Chapter 6 of POCA must </w:t>
      </w:r>
      <w:r w:rsidRPr="00A4731B">
        <w:rPr>
          <w:rFonts w:ascii="Arial" w:hAnsi="Arial" w:cs="Arial"/>
        </w:rPr>
        <w:lastRenderedPageBreak/>
        <w:t>comply with the requirements set out in s 59 of POCA, regulation 7 of the Prevention of Organised Crime Regulations and rules 65(1) and 79(1) as well as rule 79(2) of the Rules of the High Court where no rule has been made under POCA.</w:t>
      </w:r>
    </w:p>
    <w:p w:rsidR="00A4731B" w:rsidRPr="00A4731B" w:rsidRDefault="00A4731B" w:rsidP="00A4731B">
      <w:pPr>
        <w:spacing w:line="360" w:lineRule="auto"/>
        <w:jc w:val="both"/>
        <w:rPr>
          <w:rFonts w:ascii="Arial" w:hAnsi="Arial" w:cs="Arial"/>
          <w:sz w:val="24"/>
          <w:szCs w:val="24"/>
        </w:rPr>
      </w:pPr>
    </w:p>
    <w:p w:rsidR="000D4F1A" w:rsidRPr="000D4F1A" w:rsidRDefault="00515A28" w:rsidP="000D4F1A">
      <w:pPr>
        <w:spacing w:line="360" w:lineRule="auto"/>
        <w:jc w:val="both"/>
        <w:rPr>
          <w:rFonts w:ascii="Arial" w:hAnsi="Arial" w:cs="Arial"/>
          <w:sz w:val="24"/>
          <w:szCs w:val="24"/>
        </w:rPr>
      </w:pPr>
      <w:r>
        <w:rPr>
          <w:rFonts w:ascii="Arial" w:hAnsi="Arial" w:cs="Arial"/>
          <w:sz w:val="24"/>
          <w:szCs w:val="24"/>
        </w:rPr>
        <w:t>[23</w:t>
      </w:r>
      <w:r w:rsidR="000D4F1A">
        <w:rPr>
          <w:rFonts w:ascii="Arial" w:hAnsi="Arial" w:cs="Arial"/>
          <w:sz w:val="24"/>
          <w:szCs w:val="24"/>
        </w:rPr>
        <w:t>]</w:t>
      </w:r>
      <w:r w:rsidR="000D4F1A">
        <w:rPr>
          <w:rFonts w:ascii="Arial" w:hAnsi="Arial" w:cs="Arial"/>
          <w:sz w:val="24"/>
          <w:szCs w:val="24"/>
        </w:rPr>
        <w:tab/>
        <w:t>Regulation 7 of the POCA Regulations provid</w:t>
      </w:r>
      <w:r w:rsidR="00581036">
        <w:rPr>
          <w:rFonts w:ascii="Arial" w:hAnsi="Arial" w:cs="Arial"/>
          <w:sz w:val="24"/>
          <w:szCs w:val="24"/>
        </w:rPr>
        <w:t>es</w:t>
      </w:r>
      <w:r w:rsidR="00F614C8">
        <w:rPr>
          <w:rFonts w:ascii="Arial" w:hAnsi="Arial" w:cs="Arial"/>
          <w:sz w:val="24"/>
          <w:szCs w:val="24"/>
        </w:rPr>
        <w:t xml:space="preserve"> as follows</w:t>
      </w:r>
      <w:r w:rsidR="00581036">
        <w:rPr>
          <w:rFonts w:ascii="Arial" w:hAnsi="Arial" w:cs="Arial"/>
          <w:sz w:val="24"/>
          <w:szCs w:val="24"/>
        </w:rPr>
        <w:t>:</w:t>
      </w:r>
    </w:p>
    <w:p w:rsidR="00A4731B" w:rsidRDefault="00A4731B" w:rsidP="00A4731B">
      <w:pPr>
        <w:spacing w:line="360" w:lineRule="auto"/>
        <w:jc w:val="both"/>
        <w:rPr>
          <w:rFonts w:ascii="Arial" w:hAnsi="Arial" w:cs="Arial"/>
          <w:i/>
        </w:rPr>
      </w:pPr>
    </w:p>
    <w:p w:rsidR="000D4F1A" w:rsidRPr="00F614C8" w:rsidRDefault="00F614C8" w:rsidP="00F614C8">
      <w:pPr>
        <w:spacing w:line="360" w:lineRule="auto"/>
        <w:ind w:firstLine="720"/>
        <w:jc w:val="both"/>
        <w:rPr>
          <w:rFonts w:ascii="Arial" w:hAnsi="Arial" w:cs="Arial"/>
        </w:rPr>
      </w:pPr>
      <w:r>
        <w:rPr>
          <w:rFonts w:ascii="Arial" w:hAnsi="Arial" w:cs="Arial"/>
        </w:rPr>
        <w:t>‘</w:t>
      </w:r>
      <w:r w:rsidR="000D4F1A" w:rsidRPr="00F614C8">
        <w:rPr>
          <w:rFonts w:ascii="Arial" w:hAnsi="Arial" w:cs="Arial"/>
        </w:rPr>
        <w:t xml:space="preserve">7. Subject to section 91(2), (3) or (4) of the Act, every application made pursuant to section 25, 43, 51, 59 or 64 of the Act, is made as follows - </w:t>
      </w:r>
    </w:p>
    <w:p w:rsidR="000D4F1A" w:rsidRPr="00F614C8" w:rsidRDefault="000D4F1A" w:rsidP="00A4731B">
      <w:pPr>
        <w:spacing w:line="360" w:lineRule="auto"/>
        <w:jc w:val="both"/>
        <w:rPr>
          <w:rFonts w:ascii="Arial" w:hAnsi="Arial" w:cs="Arial"/>
        </w:rPr>
      </w:pPr>
      <w:r w:rsidRPr="00F614C8">
        <w:rPr>
          <w:rFonts w:ascii="Arial" w:hAnsi="Arial" w:cs="Arial"/>
        </w:rPr>
        <w:t xml:space="preserve">(a) it must be in writing; </w:t>
      </w:r>
    </w:p>
    <w:p w:rsidR="000D4F1A" w:rsidRPr="00F614C8" w:rsidRDefault="000D4F1A" w:rsidP="00A4731B">
      <w:pPr>
        <w:spacing w:line="360" w:lineRule="auto"/>
        <w:jc w:val="both"/>
        <w:rPr>
          <w:rFonts w:ascii="Arial" w:hAnsi="Arial" w:cs="Arial"/>
        </w:rPr>
      </w:pPr>
      <w:r w:rsidRPr="00F614C8">
        <w:rPr>
          <w:rFonts w:ascii="Arial" w:hAnsi="Arial" w:cs="Arial"/>
        </w:rPr>
        <w:t xml:space="preserve">(b) a notice of application of at least 7 days must be given to the respondents to an application and to any other person upon whom an application is required to be served unless leave to serve short notice is given by the High Court; and </w:t>
      </w:r>
    </w:p>
    <w:p w:rsidR="000D4F1A" w:rsidRDefault="000D4F1A" w:rsidP="00A4731B">
      <w:pPr>
        <w:spacing w:line="360" w:lineRule="auto"/>
        <w:jc w:val="both"/>
        <w:rPr>
          <w:rFonts w:ascii="Arial" w:hAnsi="Arial" w:cs="Arial"/>
        </w:rPr>
      </w:pPr>
      <w:r w:rsidRPr="00F614C8">
        <w:rPr>
          <w:rFonts w:ascii="Arial" w:hAnsi="Arial" w:cs="Arial"/>
        </w:rPr>
        <w:t>(c) it must be supported by affidavit evidence, unless otherwise stated in the Act or by an order of the High Court</w:t>
      </w:r>
      <w:r w:rsidR="00581036" w:rsidRPr="00F614C8">
        <w:rPr>
          <w:rFonts w:ascii="Arial" w:hAnsi="Arial" w:cs="Arial"/>
        </w:rPr>
        <w:t>.</w:t>
      </w:r>
    </w:p>
    <w:p w:rsidR="00F614C8" w:rsidRPr="00F614C8" w:rsidRDefault="00F614C8" w:rsidP="00A4731B">
      <w:pPr>
        <w:spacing w:line="360" w:lineRule="auto"/>
        <w:jc w:val="both"/>
        <w:rPr>
          <w:rFonts w:ascii="Arial" w:hAnsi="Arial" w:cs="Arial"/>
        </w:rPr>
      </w:pPr>
    </w:p>
    <w:p w:rsidR="00581036" w:rsidRDefault="00515A28" w:rsidP="00581036">
      <w:pPr>
        <w:spacing w:line="360" w:lineRule="auto"/>
        <w:jc w:val="both"/>
        <w:rPr>
          <w:rFonts w:ascii="Arial" w:hAnsi="Arial" w:cs="Arial"/>
          <w:sz w:val="24"/>
          <w:szCs w:val="24"/>
        </w:rPr>
      </w:pPr>
      <w:r w:rsidRPr="00E4018C">
        <w:rPr>
          <w:rFonts w:ascii="Arial" w:hAnsi="Arial" w:cs="Arial"/>
        </w:rPr>
        <w:t>[24</w:t>
      </w:r>
      <w:r w:rsidR="00581036" w:rsidRPr="00E4018C">
        <w:rPr>
          <w:rFonts w:ascii="Arial" w:hAnsi="Arial" w:cs="Arial"/>
        </w:rPr>
        <w:t>]</w:t>
      </w:r>
      <w:r w:rsidR="00581036" w:rsidRPr="00E4018C">
        <w:rPr>
          <w:rFonts w:ascii="Arial" w:hAnsi="Arial" w:cs="Arial"/>
        </w:rPr>
        <w:tab/>
      </w:r>
      <w:r w:rsidR="00D66C70" w:rsidRPr="00E4018C">
        <w:rPr>
          <w:rFonts w:ascii="Arial" w:hAnsi="Arial" w:cs="Arial"/>
          <w:sz w:val="24"/>
          <w:szCs w:val="24"/>
        </w:rPr>
        <w:t>The PG’s s</w:t>
      </w:r>
      <w:r w:rsidR="00581036" w:rsidRPr="00E4018C">
        <w:rPr>
          <w:rFonts w:ascii="Arial" w:hAnsi="Arial" w:cs="Arial"/>
          <w:sz w:val="24"/>
          <w:szCs w:val="24"/>
        </w:rPr>
        <w:t xml:space="preserve"> 59(1) application was filed in compliance with Regulation 7, read with rule 65(</w:t>
      </w:r>
      <w:r w:rsidR="00F614C8" w:rsidRPr="00E4018C">
        <w:rPr>
          <w:rFonts w:ascii="Arial" w:hAnsi="Arial" w:cs="Arial"/>
          <w:sz w:val="24"/>
          <w:szCs w:val="24"/>
        </w:rPr>
        <w:t>1) of the rules of this court.</w:t>
      </w:r>
      <w:r w:rsidR="00F614C8">
        <w:rPr>
          <w:rFonts w:ascii="Arial" w:hAnsi="Arial" w:cs="Arial"/>
          <w:sz w:val="24"/>
          <w:szCs w:val="24"/>
        </w:rPr>
        <w:t xml:space="preserve"> Furthermore, it</w:t>
      </w:r>
      <w:r w:rsidR="00581036">
        <w:rPr>
          <w:rFonts w:ascii="Arial" w:hAnsi="Arial" w:cs="Arial"/>
          <w:sz w:val="24"/>
          <w:szCs w:val="24"/>
        </w:rPr>
        <w:t xml:space="preserve"> correctly</w:t>
      </w:r>
      <w:r w:rsidR="00F614C8">
        <w:rPr>
          <w:rFonts w:ascii="Arial" w:hAnsi="Arial" w:cs="Arial"/>
          <w:sz w:val="24"/>
          <w:szCs w:val="24"/>
        </w:rPr>
        <w:t>,</w:t>
      </w:r>
      <w:r w:rsidR="00581036">
        <w:rPr>
          <w:rFonts w:ascii="Arial" w:hAnsi="Arial" w:cs="Arial"/>
          <w:sz w:val="24"/>
          <w:szCs w:val="24"/>
        </w:rPr>
        <w:t xml:space="preserve"> in terms of rule 65(4), called</w:t>
      </w:r>
      <w:r w:rsidR="00F614C8">
        <w:rPr>
          <w:rFonts w:ascii="Arial" w:hAnsi="Arial" w:cs="Arial"/>
          <w:sz w:val="24"/>
          <w:szCs w:val="24"/>
        </w:rPr>
        <w:t xml:space="preserve"> upon the applicants to file</w:t>
      </w:r>
      <w:r w:rsidR="00581036">
        <w:rPr>
          <w:rFonts w:ascii="Arial" w:hAnsi="Arial" w:cs="Arial"/>
          <w:sz w:val="24"/>
          <w:szCs w:val="24"/>
        </w:rPr>
        <w:t xml:space="preserve"> their notice of intention to oppose</w:t>
      </w:r>
      <w:r w:rsidR="00F614C8">
        <w:rPr>
          <w:rFonts w:ascii="Arial" w:hAnsi="Arial" w:cs="Arial"/>
          <w:sz w:val="24"/>
          <w:szCs w:val="24"/>
        </w:rPr>
        <w:t>, if so advised</w:t>
      </w:r>
      <w:r w:rsidR="00581036">
        <w:rPr>
          <w:rFonts w:ascii="Arial" w:hAnsi="Arial" w:cs="Arial"/>
          <w:sz w:val="24"/>
          <w:szCs w:val="24"/>
        </w:rPr>
        <w:t xml:space="preserve">. </w:t>
      </w:r>
      <w:r w:rsidR="00806DA5">
        <w:rPr>
          <w:rFonts w:ascii="Arial" w:hAnsi="Arial" w:cs="Arial"/>
          <w:sz w:val="24"/>
          <w:szCs w:val="24"/>
        </w:rPr>
        <w:t xml:space="preserve">I accordingly accept as correct the submission by Mr. Boonzaaier that the PG’s notice calling upon the applicants to indicate their intention to oppose the application was not irregular but </w:t>
      </w:r>
      <w:r w:rsidR="00F614C8">
        <w:rPr>
          <w:rFonts w:ascii="Arial" w:hAnsi="Arial" w:cs="Arial"/>
          <w:sz w:val="24"/>
          <w:szCs w:val="24"/>
        </w:rPr>
        <w:t>is in fact sanctioned by</w:t>
      </w:r>
      <w:r w:rsidR="00806DA5">
        <w:rPr>
          <w:rFonts w:ascii="Arial" w:hAnsi="Arial" w:cs="Arial"/>
          <w:sz w:val="24"/>
          <w:szCs w:val="24"/>
        </w:rPr>
        <w:t xml:space="preserve"> POCA and the relevant rules of this court. It follows that the first question is answered in the negative. </w:t>
      </w:r>
    </w:p>
    <w:p w:rsidR="00F614C8" w:rsidRPr="00581036" w:rsidRDefault="00F614C8" w:rsidP="00581036">
      <w:pPr>
        <w:spacing w:line="360" w:lineRule="auto"/>
        <w:jc w:val="both"/>
        <w:rPr>
          <w:rFonts w:ascii="Arial" w:hAnsi="Arial" w:cs="Arial"/>
          <w:sz w:val="24"/>
          <w:szCs w:val="24"/>
        </w:rPr>
      </w:pPr>
    </w:p>
    <w:p w:rsidR="00806DA5" w:rsidRDefault="00187D8B" w:rsidP="00FB6332">
      <w:pPr>
        <w:spacing w:line="360" w:lineRule="auto"/>
        <w:jc w:val="both"/>
        <w:rPr>
          <w:rFonts w:ascii="Arial" w:hAnsi="Arial" w:cs="Arial"/>
          <w:sz w:val="24"/>
          <w:szCs w:val="24"/>
          <w:u w:val="single"/>
        </w:rPr>
      </w:pPr>
      <w:r w:rsidRPr="00F614C8">
        <w:rPr>
          <w:rFonts w:ascii="Arial" w:hAnsi="Arial" w:cs="Arial"/>
          <w:sz w:val="24"/>
          <w:szCs w:val="24"/>
          <w:u w:val="single"/>
        </w:rPr>
        <w:t>Do</w:t>
      </w:r>
      <w:r w:rsidR="00F614C8">
        <w:rPr>
          <w:rFonts w:ascii="Arial" w:hAnsi="Arial" w:cs="Arial"/>
          <w:sz w:val="24"/>
          <w:szCs w:val="24"/>
          <w:u w:val="single"/>
        </w:rPr>
        <w:t>es</w:t>
      </w:r>
      <w:r w:rsidRPr="00F614C8">
        <w:rPr>
          <w:rFonts w:ascii="Arial" w:hAnsi="Arial" w:cs="Arial"/>
          <w:sz w:val="24"/>
          <w:szCs w:val="24"/>
          <w:u w:val="single"/>
        </w:rPr>
        <w:t xml:space="preserve"> the PG’s founding affidavit and further confirmatory affidavits filed in support of the section 59(1) application constitute an irregular step?</w:t>
      </w:r>
    </w:p>
    <w:p w:rsidR="00F614C8" w:rsidRPr="00F614C8" w:rsidRDefault="00F614C8" w:rsidP="00FB6332">
      <w:pPr>
        <w:spacing w:line="360" w:lineRule="auto"/>
        <w:jc w:val="both"/>
        <w:rPr>
          <w:rFonts w:ascii="Arial" w:hAnsi="Arial" w:cs="Arial"/>
          <w:sz w:val="24"/>
          <w:szCs w:val="24"/>
          <w:u w:val="single"/>
        </w:rPr>
      </w:pPr>
    </w:p>
    <w:p w:rsidR="000D2800" w:rsidRDefault="00515A28" w:rsidP="00806DA5">
      <w:pPr>
        <w:spacing w:line="360" w:lineRule="auto"/>
        <w:jc w:val="both"/>
        <w:rPr>
          <w:rFonts w:ascii="Arial" w:hAnsi="Arial" w:cs="Arial"/>
          <w:sz w:val="24"/>
          <w:szCs w:val="24"/>
        </w:rPr>
      </w:pPr>
      <w:r>
        <w:rPr>
          <w:rFonts w:ascii="Arial" w:hAnsi="Arial" w:cs="Arial"/>
          <w:sz w:val="24"/>
          <w:szCs w:val="24"/>
        </w:rPr>
        <w:t>[25</w:t>
      </w:r>
      <w:r w:rsidR="00806DA5">
        <w:rPr>
          <w:rFonts w:ascii="Arial" w:hAnsi="Arial" w:cs="Arial"/>
          <w:sz w:val="24"/>
          <w:szCs w:val="24"/>
        </w:rPr>
        <w:t>]</w:t>
      </w:r>
      <w:r w:rsidR="00806DA5">
        <w:rPr>
          <w:rFonts w:ascii="Arial" w:hAnsi="Arial" w:cs="Arial"/>
          <w:sz w:val="24"/>
          <w:szCs w:val="24"/>
        </w:rPr>
        <w:tab/>
        <w:t>Mr. Boonzaaier</w:t>
      </w:r>
      <w:r w:rsidR="00F614C8">
        <w:rPr>
          <w:rFonts w:ascii="Arial" w:hAnsi="Arial" w:cs="Arial"/>
          <w:sz w:val="24"/>
          <w:szCs w:val="24"/>
        </w:rPr>
        <w:t>,</w:t>
      </w:r>
      <w:r w:rsidR="00806DA5">
        <w:rPr>
          <w:rFonts w:ascii="Arial" w:hAnsi="Arial" w:cs="Arial"/>
          <w:sz w:val="24"/>
          <w:szCs w:val="24"/>
        </w:rPr>
        <w:t xml:space="preserve"> argued with reference to the </w:t>
      </w:r>
      <w:r w:rsidR="00806DA5">
        <w:rPr>
          <w:rFonts w:ascii="Arial" w:hAnsi="Arial" w:cs="Arial"/>
          <w:i/>
          <w:sz w:val="24"/>
          <w:szCs w:val="24"/>
        </w:rPr>
        <w:t xml:space="preserve">Kamunguma </w:t>
      </w:r>
      <w:r w:rsidR="00806DA5">
        <w:rPr>
          <w:rFonts w:ascii="Arial" w:hAnsi="Arial" w:cs="Arial"/>
          <w:sz w:val="24"/>
          <w:szCs w:val="24"/>
        </w:rPr>
        <w:t xml:space="preserve">matter that the PG was entitled to file further affidavits in support of the forfeiture application. </w:t>
      </w:r>
      <w:r w:rsidR="007E252E">
        <w:rPr>
          <w:rFonts w:ascii="Arial" w:hAnsi="Arial" w:cs="Arial"/>
          <w:sz w:val="24"/>
          <w:szCs w:val="24"/>
        </w:rPr>
        <w:tab/>
      </w:r>
      <w:r w:rsidR="00806DA5">
        <w:rPr>
          <w:rFonts w:ascii="Arial" w:hAnsi="Arial" w:cs="Arial"/>
          <w:sz w:val="24"/>
          <w:szCs w:val="24"/>
        </w:rPr>
        <w:t xml:space="preserve">The applicants moved to reject such contention, arguing that </w:t>
      </w:r>
      <w:r w:rsidR="00806DA5">
        <w:rPr>
          <w:rFonts w:ascii="Arial" w:hAnsi="Arial" w:cs="Arial"/>
          <w:i/>
          <w:sz w:val="24"/>
          <w:szCs w:val="24"/>
        </w:rPr>
        <w:t xml:space="preserve">Kamunguma </w:t>
      </w:r>
      <w:r w:rsidR="00806DA5">
        <w:rPr>
          <w:rFonts w:ascii="Arial" w:hAnsi="Arial" w:cs="Arial"/>
          <w:sz w:val="24"/>
          <w:szCs w:val="24"/>
        </w:rPr>
        <w:t xml:space="preserve">is no authority for the proposition that the PG can require a party to duplicate the notice to oppose and opposing affidavits to set up a </w:t>
      </w:r>
      <w:r w:rsidR="00F614C8">
        <w:rPr>
          <w:rFonts w:ascii="Arial" w:hAnsi="Arial" w:cs="Arial"/>
          <w:sz w:val="24"/>
          <w:szCs w:val="24"/>
        </w:rPr>
        <w:t>valid defence. Mr. Heathcote,</w:t>
      </w:r>
      <w:r w:rsidR="00806DA5">
        <w:rPr>
          <w:rFonts w:ascii="Arial" w:hAnsi="Arial" w:cs="Arial"/>
          <w:sz w:val="24"/>
          <w:szCs w:val="24"/>
        </w:rPr>
        <w:t xml:space="preserve"> submitted in his </w:t>
      </w:r>
      <w:r w:rsidR="00806DA5">
        <w:rPr>
          <w:rFonts w:ascii="Arial" w:hAnsi="Arial" w:cs="Arial"/>
          <w:sz w:val="24"/>
          <w:szCs w:val="24"/>
        </w:rPr>
        <w:lastRenderedPageBreak/>
        <w:t xml:space="preserve">written heads of argument that </w:t>
      </w:r>
      <w:r w:rsidR="00F614C8">
        <w:rPr>
          <w:rFonts w:ascii="Arial" w:hAnsi="Arial" w:cs="Arial"/>
        </w:rPr>
        <w:t>‘</w:t>
      </w:r>
      <w:r w:rsidR="00F614C8" w:rsidRPr="00F614C8">
        <w:rPr>
          <w:rFonts w:ascii="Arial" w:hAnsi="Arial" w:cs="Arial"/>
        </w:rPr>
        <w:t>the ratio</w:t>
      </w:r>
      <w:r w:rsidR="00E55FE2" w:rsidRPr="00F614C8">
        <w:rPr>
          <w:rFonts w:ascii="Arial" w:hAnsi="Arial" w:cs="Arial"/>
        </w:rPr>
        <w:t xml:space="preserve"> decidendi of Kamunguma is simply to avoid prolixity in the papers at the forfeiture stage and accordingly the Supreme Court found that the PG can by reference in her founding affidavit in the forfeiture application incorporate her founding affidavit in the preservation proceedings without annexing it as it is already before Court</w:t>
      </w:r>
      <w:r w:rsidR="00F614C8">
        <w:rPr>
          <w:rFonts w:ascii="Arial" w:hAnsi="Arial" w:cs="Arial"/>
          <w:i/>
          <w:sz w:val="24"/>
          <w:szCs w:val="24"/>
        </w:rPr>
        <w:t>’</w:t>
      </w:r>
      <w:r w:rsidR="00E55FE2">
        <w:rPr>
          <w:rFonts w:ascii="Arial" w:hAnsi="Arial" w:cs="Arial"/>
          <w:sz w:val="24"/>
          <w:szCs w:val="24"/>
        </w:rPr>
        <w:t>.</w:t>
      </w:r>
    </w:p>
    <w:p w:rsidR="00F614C8" w:rsidRDefault="00F614C8" w:rsidP="00806DA5">
      <w:pPr>
        <w:spacing w:line="360" w:lineRule="auto"/>
        <w:jc w:val="both"/>
        <w:rPr>
          <w:rFonts w:ascii="Arial" w:hAnsi="Arial" w:cs="Arial"/>
          <w:sz w:val="24"/>
          <w:szCs w:val="24"/>
        </w:rPr>
      </w:pPr>
    </w:p>
    <w:p w:rsidR="00E55FE2" w:rsidRDefault="00515A28" w:rsidP="00806DA5">
      <w:pPr>
        <w:spacing w:line="360" w:lineRule="auto"/>
        <w:jc w:val="both"/>
        <w:rPr>
          <w:rFonts w:ascii="Arial" w:hAnsi="Arial" w:cs="Arial"/>
          <w:sz w:val="24"/>
          <w:szCs w:val="24"/>
        </w:rPr>
      </w:pPr>
      <w:r>
        <w:rPr>
          <w:rFonts w:ascii="Arial" w:hAnsi="Arial" w:cs="Arial"/>
          <w:sz w:val="24"/>
          <w:szCs w:val="24"/>
        </w:rPr>
        <w:t>[26</w:t>
      </w:r>
      <w:r w:rsidR="00E55FE2">
        <w:rPr>
          <w:rFonts w:ascii="Arial" w:hAnsi="Arial" w:cs="Arial"/>
          <w:sz w:val="24"/>
          <w:szCs w:val="24"/>
        </w:rPr>
        <w:t>]</w:t>
      </w:r>
      <w:r w:rsidR="00E55FE2">
        <w:rPr>
          <w:rFonts w:ascii="Arial" w:hAnsi="Arial" w:cs="Arial"/>
          <w:sz w:val="24"/>
          <w:szCs w:val="24"/>
        </w:rPr>
        <w:tab/>
        <w:t>The issue under consideration may conveniently be determined with reference</w:t>
      </w:r>
      <w:r w:rsidR="00D5107B">
        <w:rPr>
          <w:rFonts w:ascii="Arial" w:hAnsi="Arial" w:cs="Arial"/>
          <w:sz w:val="24"/>
          <w:szCs w:val="24"/>
        </w:rPr>
        <w:t>, if not to rule 65(1) of the rules of this court,</w:t>
      </w:r>
      <w:r w:rsidR="00E55FE2">
        <w:rPr>
          <w:rFonts w:ascii="Arial" w:hAnsi="Arial" w:cs="Arial"/>
          <w:sz w:val="24"/>
          <w:szCs w:val="24"/>
        </w:rPr>
        <w:t xml:space="preserve"> to the </w:t>
      </w:r>
      <w:r w:rsidR="00E55FE2">
        <w:rPr>
          <w:rFonts w:ascii="Arial" w:hAnsi="Arial" w:cs="Arial"/>
          <w:i/>
          <w:sz w:val="24"/>
          <w:szCs w:val="24"/>
        </w:rPr>
        <w:t xml:space="preserve">Kamunguma </w:t>
      </w:r>
      <w:r w:rsidR="00E55FE2">
        <w:rPr>
          <w:rFonts w:ascii="Arial" w:hAnsi="Arial" w:cs="Arial"/>
          <w:sz w:val="24"/>
          <w:szCs w:val="24"/>
        </w:rPr>
        <w:t>matter where the Supreme C</w:t>
      </w:r>
      <w:r w:rsidR="00D5107B">
        <w:rPr>
          <w:rFonts w:ascii="Arial" w:hAnsi="Arial" w:cs="Arial"/>
          <w:sz w:val="24"/>
          <w:szCs w:val="24"/>
        </w:rPr>
        <w:t>ourt was confronted with</w:t>
      </w:r>
      <w:r w:rsidR="00E55FE2">
        <w:rPr>
          <w:rFonts w:ascii="Arial" w:hAnsi="Arial" w:cs="Arial"/>
          <w:sz w:val="24"/>
          <w:szCs w:val="24"/>
        </w:rPr>
        <w:t xml:space="preserve"> the question whether it was permissible in law for the PG to incorporate by reference affidavits and other information filed in an application for a preservation order in her affidavit in support of a forfeiture application. </w:t>
      </w:r>
      <w:r w:rsidR="00187D8B">
        <w:rPr>
          <w:rFonts w:ascii="Arial" w:hAnsi="Arial" w:cs="Arial"/>
          <w:sz w:val="24"/>
          <w:szCs w:val="24"/>
        </w:rPr>
        <w:t>Such question was, after a thorough survey of the relevant sections of the POCA, its regulations, and the rules of this court, answered in favour of the PG.</w:t>
      </w:r>
    </w:p>
    <w:p w:rsidR="00F614C8" w:rsidRDefault="00F614C8" w:rsidP="00806DA5">
      <w:pPr>
        <w:spacing w:line="360" w:lineRule="auto"/>
        <w:jc w:val="both"/>
        <w:rPr>
          <w:rFonts w:ascii="Arial" w:hAnsi="Arial" w:cs="Arial"/>
          <w:sz w:val="24"/>
          <w:szCs w:val="24"/>
        </w:rPr>
      </w:pPr>
    </w:p>
    <w:p w:rsidR="00D5107B" w:rsidRDefault="00515A28" w:rsidP="00544493">
      <w:pPr>
        <w:spacing w:line="360" w:lineRule="auto"/>
        <w:jc w:val="both"/>
        <w:rPr>
          <w:rFonts w:ascii="Arial" w:hAnsi="Arial" w:cs="Arial"/>
          <w:sz w:val="24"/>
          <w:szCs w:val="24"/>
        </w:rPr>
      </w:pPr>
      <w:r>
        <w:rPr>
          <w:rFonts w:ascii="Arial" w:hAnsi="Arial" w:cs="Arial"/>
          <w:sz w:val="24"/>
          <w:szCs w:val="24"/>
        </w:rPr>
        <w:t>[27</w:t>
      </w:r>
      <w:r w:rsidR="00187D8B">
        <w:rPr>
          <w:rFonts w:ascii="Arial" w:hAnsi="Arial" w:cs="Arial"/>
          <w:sz w:val="24"/>
          <w:szCs w:val="24"/>
        </w:rPr>
        <w:t>]</w:t>
      </w:r>
      <w:r w:rsidR="00187D8B">
        <w:rPr>
          <w:rFonts w:ascii="Arial" w:hAnsi="Arial" w:cs="Arial"/>
          <w:sz w:val="24"/>
          <w:szCs w:val="24"/>
        </w:rPr>
        <w:tab/>
      </w:r>
      <w:r w:rsidR="00D5107B">
        <w:rPr>
          <w:rFonts w:ascii="Arial" w:hAnsi="Arial" w:cs="Arial"/>
          <w:sz w:val="24"/>
          <w:szCs w:val="24"/>
        </w:rPr>
        <w:t>It was, in my considered view, not only permissible but incumbent on th</w:t>
      </w:r>
      <w:r w:rsidR="00D66C70">
        <w:rPr>
          <w:rFonts w:ascii="Arial" w:hAnsi="Arial" w:cs="Arial"/>
          <w:sz w:val="24"/>
          <w:szCs w:val="24"/>
        </w:rPr>
        <w:t>e PG to proceed with the s</w:t>
      </w:r>
      <w:r w:rsidR="00D5107B">
        <w:rPr>
          <w:rFonts w:ascii="Arial" w:hAnsi="Arial" w:cs="Arial"/>
          <w:sz w:val="24"/>
          <w:szCs w:val="24"/>
        </w:rPr>
        <w:t xml:space="preserve"> 59(1) application in the manner provided for in</w:t>
      </w:r>
      <w:r w:rsidR="00D66C70">
        <w:rPr>
          <w:rFonts w:ascii="Arial" w:hAnsi="Arial" w:cs="Arial"/>
          <w:sz w:val="24"/>
          <w:szCs w:val="24"/>
        </w:rPr>
        <w:t xml:space="preserve"> Regulation 7, read with s</w:t>
      </w:r>
      <w:r w:rsidR="00D5107B">
        <w:rPr>
          <w:rFonts w:ascii="Arial" w:hAnsi="Arial" w:cs="Arial"/>
          <w:sz w:val="24"/>
          <w:szCs w:val="24"/>
        </w:rPr>
        <w:t xml:space="preserve"> 65(1) of the rules of this court. In the matter of </w:t>
      </w:r>
      <w:r w:rsidR="00D5107B">
        <w:rPr>
          <w:rFonts w:ascii="Arial" w:hAnsi="Arial" w:cs="Arial"/>
          <w:i/>
          <w:sz w:val="24"/>
          <w:szCs w:val="24"/>
        </w:rPr>
        <w:t xml:space="preserve">Kamunguma </w:t>
      </w:r>
      <w:r w:rsidR="00F614C8">
        <w:rPr>
          <w:rFonts w:ascii="Arial" w:hAnsi="Arial" w:cs="Arial"/>
          <w:sz w:val="24"/>
          <w:szCs w:val="24"/>
        </w:rPr>
        <w:t>the Supreme Court reasoned as follows</w:t>
      </w:r>
      <w:r w:rsidR="00D5107B">
        <w:rPr>
          <w:rFonts w:ascii="Arial" w:hAnsi="Arial" w:cs="Arial"/>
          <w:sz w:val="24"/>
          <w:szCs w:val="24"/>
        </w:rPr>
        <w:t>:</w:t>
      </w:r>
    </w:p>
    <w:p w:rsidR="00F614C8" w:rsidRDefault="00F614C8" w:rsidP="00F614C8">
      <w:pPr>
        <w:spacing w:after="0" w:line="360" w:lineRule="auto"/>
        <w:jc w:val="both"/>
        <w:rPr>
          <w:rFonts w:ascii="Arial" w:hAnsi="Arial" w:cs="Arial"/>
          <w:i/>
        </w:rPr>
      </w:pPr>
    </w:p>
    <w:p w:rsidR="00F323CD" w:rsidRPr="00F614C8" w:rsidRDefault="00F323CD" w:rsidP="00F614C8">
      <w:pPr>
        <w:spacing w:after="0" w:line="360" w:lineRule="auto"/>
        <w:ind w:firstLine="720"/>
        <w:jc w:val="both"/>
        <w:rPr>
          <w:rFonts w:ascii="Arial" w:eastAsiaTheme="minorHAnsi" w:hAnsi="Arial" w:cs="Arial"/>
          <w:lang w:val="en-GB"/>
        </w:rPr>
      </w:pPr>
      <w:r w:rsidRPr="00F614C8">
        <w:rPr>
          <w:rFonts w:ascii="Arial" w:hAnsi="Arial" w:cs="Arial"/>
        </w:rPr>
        <w:t xml:space="preserve">“[19] </w:t>
      </w:r>
      <w:r w:rsidRPr="00F614C8">
        <w:rPr>
          <w:rFonts w:ascii="Arial" w:eastAsiaTheme="minorHAnsi" w:hAnsi="Arial" w:cs="Arial"/>
          <w:lang w:val="en-GB"/>
        </w:rPr>
        <w:t xml:space="preserve">A preservation order is only valid for 120 days, unless there is a pending forfeiture of property application. The purpose of the 120 days - period referred to in s 53 would be, amongst other things, to enable the PG to decide whether or not to proceed with the second stage of the proceedings in light of the information disclosed in the s 52(5) affidavit; to afford the PG an opportunity to investigate any allegations made by the person in the s 52(5) affidavit; </w:t>
      </w:r>
      <w:r w:rsidRPr="00F614C8">
        <w:rPr>
          <w:rFonts w:ascii="Arial" w:eastAsiaTheme="minorHAnsi" w:hAnsi="Arial" w:cs="Arial"/>
          <w:u w:val="single"/>
          <w:lang w:val="en-GB"/>
        </w:rPr>
        <w:t>to afford the PG time to gather more evidence to satisfy the burden of proof</w:t>
      </w:r>
      <w:r w:rsidRPr="00F614C8">
        <w:rPr>
          <w:rFonts w:ascii="Arial" w:eastAsiaTheme="minorHAnsi" w:hAnsi="Arial" w:cs="Arial"/>
          <w:lang w:val="en-GB"/>
        </w:rPr>
        <w:t>, and to give the PG an opportunity to verify the grounds upon which the person intends to rely in the application, in terms of s 63, for the exclusion of the interests in the property subject to the forfeiture order.</w:t>
      </w:r>
      <w:r w:rsidRPr="00F614C8">
        <w:rPr>
          <w:rFonts w:ascii="Arial" w:eastAsiaTheme="minorHAnsi" w:hAnsi="Arial" w:cs="Arial"/>
          <w:i/>
          <w:lang w:val="en-GB"/>
        </w:rPr>
        <w:t xml:space="preserve"> </w:t>
      </w:r>
      <w:r w:rsidR="00F614C8">
        <w:rPr>
          <w:rFonts w:ascii="Arial" w:eastAsiaTheme="minorHAnsi" w:hAnsi="Arial" w:cs="Arial"/>
          <w:lang w:val="en-GB"/>
        </w:rPr>
        <w:t>(Emphasis added).</w:t>
      </w:r>
    </w:p>
    <w:p w:rsidR="00F323CD" w:rsidRDefault="00F614C8" w:rsidP="00F614C8">
      <w:pPr>
        <w:pStyle w:val="ListParagraph"/>
        <w:tabs>
          <w:tab w:val="left" w:pos="1845"/>
        </w:tabs>
        <w:spacing w:after="0" w:line="480" w:lineRule="auto"/>
        <w:ind w:firstLine="60"/>
        <w:jc w:val="both"/>
        <w:rPr>
          <w:rFonts w:ascii="Arial" w:eastAsiaTheme="minorHAnsi" w:hAnsi="Arial" w:cs="Arial"/>
          <w:lang w:val="en-GB"/>
        </w:rPr>
      </w:pPr>
      <w:r>
        <w:rPr>
          <w:rFonts w:ascii="Arial" w:eastAsiaTheme="minorHAnsi" w:hAnsi="Arial" w:cs="Arial"/>
          <w:lang w:val="en-GB"/>
        </w:rPr>
        <w:tab/>
      </w:r>
    </w:p>
    <w:p w:rsidR="00F323CD" w:rsidRDefault="00515A28" w:rsidP="00544493">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[28</w:t>
      </w:r>
      <w:r w:rsidR="00F323CD" w:rsidRPr="00F323CD">
        <w:rPr>
          <w:rFonts w:ascii="Arial" w:eastAsiaTheme="minorHAnsi" w:hAnsi="Arial" w:cs="Arial"/>
          <w:sz w:val="24"/>
          <w:szCs w:val="24"/>
          <w:lang w:val="en-GB"/>
        </w:rPr>
        <w:t>]</w:t>
      </w:r>
      <w:r w:rsidR="00F323CD" w:rsidRPr="00F323CD">
        <w:rPr>
          <w:rFonts w:ascii="Arial" w:eastAsiaTheme="minorHAnsi" w:hAnsi="Arial" w:cs="Arial"/>
          <w:sz w:val="24"/>
          <w:szCs w:val="24"/>
          <w:lang w:val="en-GB"/>
        </w:rPr>
        <w:tab/>
      </w:r>
      <w:r w:rsidR="00F614C8">
        <w:rPr>
          <w:rFonts w:ascii="Arial" w:eastAsiaTheme="minorHAnsi" w:hAnsi="Arial" w:cs="Arial"/>
          <w:sz w:val="24"/>
          <w:szCs w:val="24"/>
          <w:lang w:val="en-GB"/>
        </w:rPr>
        <w:t>I thus accept</w:t>
      </w:r>
      <w:r w:rsidR="004921D6">
        <w:rPr>
          <w:rFonts w:ascii="Arial" w:eastAsiaTheme="minorHAnsi" w:hAnsi="Arial" w:cs="Arial"/>
          <w:sz w:val="24"/>
          <w:szCs w:val="24"/>
          <w:lang w:val="en-GB"/>
        </w:rPr>
        <w:t xml:space="preserve"> Mr. Boonzaaier’s submissions</w:t>
      </w:r>
      <w:r w:rsidR="00F323CD">
        <w:rPr>
          <w:rFonts w:ascii="Arial" w:eastAsiaTheme="minorHAnsi" w:hAnsi="Arial" w:cs="Arial"/>
          <w:sz w:val="24"/>
          <w:szCs w:val="24"/>
          <w:lang w:val="en-GB"/>
        </w:rPr>
        <w:t xml:space="preserve"> that the PG’s founding affidavit and confirmatory affidavits filed in support of the forfeiture application do not constitute an irregular step within the meaning of rule 61</w:t>
      </w:r>
      <w:r w:rsidR="00F614C8">
        <w:rPr>
          <w:rFonts w:ascii="Arial" w:eastAsiaTheme="minorHAnsi" w:hAnsi="Arial" w:cs="Arial"/>
          <w:sz w:val="24"/>
          <w:szCs w:val="24"/>
          <w:lang w:val="en-GB"/>
        </w:rPr>
        <w:t xml:space="preserve"> as correct</w:t>
      </w:r>
      <w:r w:rsidR="00F323CD">
        <w:rPr>
          <w:rFonts w:ascii="Arial" w:eastAsiaTheme="minorHAnsi" w:hAnsi="Arial" w:cs="Arial"/>
          <w:sz w:val="24"/>
          <w:szCs w:val="24"/>
          <w:lang w:val="en-GB"/>
        </w:rPr>
        <w:t>.  I</w:t>
      </w:r>
      <w:r w:rsidR="003956C4">
        <w:rPr>
          <w:rFonts w:ascii="Arial" w:eastAsiaTheme="minorHAnsi" w:hAnsi="Arial" w:cs="Arial"/>
          <w:sz w:val="24"/>
          <w:szCs w:val="24"/>
          <w:lang w:val="en-GB"/>
        </w:rPr>
        <w:t>t</w:t>
      </w:r>
      <w:r w:rsidR="00F614C8">
        <w:rPr>
          <w:rFonts w:ascii="Arial" w:eastAsiaTheme="minorHAnsi" w:hAnsi="Arial" w:cs="Arial"/>
          <w:sz w:val="24"/>
          <w:szCs w:val="24"/>
          <w:lang w:val="en-GB"/>
        </w:rPr>
        <w:t xml:space="preserve"> is clear that this </w:t>
      </w:r>
      <w:r w:rsidR="003956C4">
        <w:rPr>
          <w:rFonts w:ascii="Arial" w:eastAsiaTheme="minorHAnsi" w:hAnsi="Arial" w:cs="Arial"/>
          <w:sz w:val="24"/>
          <w:szCs w:val="24"/>
          <w:lang w:val="en-GB"/>
        </w:rPr>
        <w:t>is</w:t>
      </w:r>
      <w:r w:rsidR="00F323CD">
        <w:rPr>
          <w:rFonts w:ascii="Arial" w:eastAsiaTheme="minorHAnsi" w:hAnsi="Arial" w:cs="Arial"/>
          <w:sz w:val="24"/>
          <w:szCs w:val="24"/>
          <w:lang w:val="en-GB"/>
        </w:rPr>
        <w:t xml:space="preserve"> sanctioned by Regulation 7</w:t>
      </w:r>
      <w:r w:rsidR="003956C4">
        <w:rPr>
          <w:rFonts w:ascii="Arial" w:eastAsiaTheme="minorHAnsi" w:hAnsi="Arial" w:cs="Arial"/>
          <w:sz w:val="24"/>
          <w:szCs w:val="24"/>
          <w:lang w:val="en-GB"/>
        </w:rPr>
        <w:t>,</w:t>
      </w:r>
      <w:r w:rsidR="00F323CD">
        <w:rPr>
          <w:rFonts w:ascii="Arial" w:eastAsiaTheme="minorHAnsi" w:hAnsi="Arial" w:cs="Arial"/>
          <w:sz w:val="24"/>
          <w:szCs w:val="24"/>
          <w:lang w:val="en-GB"/>
        </w:rPr>
        <w:t xml:space="preserve"> and</w:t>
      </w:r>
      <w:r w:rsidR="00F614C8">
        <w:rPr>
          <w:rFonts w:ascii="Arial" w:eastAsiaTheme="minorHAnsi" w:hAnsi="Arial" w:cs="Arial"/>
          <w:sz w:val="24"/>
          <w:szCs w:val="24"/>
          <w:lang w:val="en-GB"/>
        </w:rPr>
        <w:t xml:space="preserve"> is</w:t>
      </w:r>
      <w:r w:rsidR="00F323CD">
        <w:rPr>
          <w:rFonts w:ascii="Arial" w:eastAsiaTheme="minorHAnsi" w:hAnsi="Arial" w:cs="Arial"/>
          <w:sz w:val="24"/>
          <w:szCs w:val="24"/>
          <w:lang w:val="en-GB"/>
        </w:rPr>
        <w:t xml:space="preserve"> required by rule 65(1). </w:t>
      </w:r>
      <w:r w:rsidR="003956C4">
        <w:rPr>
          <w:rFonts w:ascii="Arial" w:eastAsiaTheme="minorHAnsi" w:hAnsi="Arial" w:cs="Arial"/>
          <w:sz w:val="24"/>
          <w:szCs w:val="24"/>
          <w:lang w:val="en-GB"/>
        </w:rPr>
        <w:t xml:space="preserve">The second question is thus also answered in the negative. </w:t>
      </w:r>
    </w:p>
    <w:p w:rsidR="00F323CD" w:rsidRDefault="00F323CD" w:rsidP="00F323CD">
      <w:pPr>
        <w:spacing w:after="0" w:line="480" w:lineRule="auto"/>
        <w:jc w:val="both"/>
        <w:rPr>
          <w:rFonts w:ascii="Arial" w:eastAsiaTheme="minorHAnsi" w:hAnsi="Arial" w:cs="Arial"/>
          <w:sz w:val="24"/>
          <w:szCs w:val="24"/>
          <w:lang w:val="en-GB"/>
        </w:rPr>
      </w:pPr>
    </w:p>
    <w:p w:rsidR="0071790A" w:rsidRDefault="00515A28" w:rsidP="00544493">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[29</w:t>
      </w:r>
      <w:r w:rsidR="00F323CD">
        <w:rPr>
          <w:rFonts w:ascii="Arial" w:eastAsiaTheme="minorHAnsi" w:hAnsi="Arial" w:cs="Arial"/>
          <w:sz w:val="24"/>
          <w:szCs w:val="24"/>
          <w:lang w:val="en-GB"/>
        </w:rPr>
        <w:t>]</w:t>
      </w:r>
      <w:r w:rsidR="00F323CD">
        <w:rPr>
          <w:rFonts w:ascii="Arial" w:eastAsiaTheme="minorHAnsi" w:hAnsi="Arial" w:cs="Arial"/>
          <w:sz w:val="24"/>
          <w:szCs w:val="24"/>
          <w:lang w:val="en-GB"/>
        </w:rPr>
        <w:tab/>
        <w:t xml:space="preserve">The resultant effect of these findings disposes of the applicants’ application to have the PG’s notice of motion and founding affidavit set aside as an irregular step. The application must accordingly fail, and so it does. </w:t>
      </w:r>
    </w:p>
    <w:p w:rsidR="00F614C8" w:rsidRDefault="00F614C8" w:rsidP="00544493">
      <w:pPr>
        <w:spacing w:after="0" w:line="360" w:lineRule="auto"/>
        <w:jc w:val="both"/>
        <w:rPr>
          <w:rFonts w:ascii="Arial" w:eastAsiaTheme="minorHAnsi" w:hAnsi="Arial" w:cs="Arial"/>
          <w:sz w:val="24"/>
          <w:szCs w:val="24"/>
          <w:lang w:val="en-GB"/>
        </w:rPr>
      </w:pPr>
    </w:p>
    <w:p w:rsidR="007D5A82" w:rsidRDefault="00515A28" w:rsidP="00544493">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[30</w:t>
      </w:r>
      <w:r w:rsidR="007D5A82">
        <w:rPr>
          <w:rFonts w:ascii="Arial" w:eastAsiaTheme="minorHAnsi" w:hAnsi="Arial" w:cs="Arial"/>
          <w:sz w:val="24"/>
          <w:szCs w:val="24"/>
          <w:lang w:val="en-GB"/>
        </w:rPr>
        <w:t>]</w:t>
      </w:r>
      <w:r w:rsidR="007D5A82">
        <w:rPr>
          <w:rFonts w:ascii="Arial" w:eastAsiaTheme="minorHAnsi" w:hAnsi="Arial" w:cs="Arial"/>
          <w:sz w:val="24"/>
          <w:szCs w:val="24"/>
          <w:lang w:val="en-GB"/>
        </w:rPr>
        <w:tab/>
        <w:t>I</w:t>
      </w:r>
      <w:r w:rsidR="00F614C8">
        <w:rPr>
          <w:rFonts w:ascii="Arial" w:eastAsiaTheme="minorHAnsi" w:hAnsi="Arial" w:cs="Arial"/>
          <w:sz w:val="24"/>
          <w:szCs w:val="24"/>
          <w:lang w:val="en-GB"/>
        </w:rPr>
        <w:t xml:space="preserve"> need to make the following additional observation</w:t>
      </w:r>
      <w:r w:rsidR="007D5A82">
        <w:rPr>
          <w:rFonts w:ascii="Arial" w:eastAsiaTheme="minorHAnsi" w:hAnsi="Arial" w:cs="Arial"/>
          <w:sz w:val="24"/>
          <w:szCs w:val="24"/>
          <w:lang w:val="en-GB"/>
        </w:rPr>
        <w:t xml:space="preserve">s. First, it is beneficial to </w:t>
      </w:r>
      <w:r w:rsidR="00F614C8">
        <w:rPr>
          <w:rFonts w:ascii="Arial" w:eastAsiaTheme="minorHAnsi" w:hAnsi="Arial" w:cs="Arial"/>
          <w:sz w:val="24"/>
          <w:szCs w:val="24"/>
          <w:lang w:val="en-GB"/>
        </w:rPr>
        <w:t>a person in the shoes</w:t>
      </w:r>
      <w:r w:rsidR="007D5A82">
        <w:rPr>
          <w:rFonts w:ascii="Arial" w:eastAsiaTheme="minorHAnsi" w:hAnsi="Arial" w:cs="Arial"/>
          <w:sz w:val="24"/>
          <w:szCs w:val="24"/>
          <w:lang w:val="en-GB"/>
        </w:rPr>
        <w:t xml:space="preserve"> of the applicants to state, in terms of s 52(5)(</w:t>
      </w:r>
      <w:r w:rsidR="007D5A82">
        <w:rPr>
          <w:rFonts w:ascii="Arial" w:eastAsiaTheme="minorHAnsi" w:hAnsi="Arial" w:cs="Arial"/>
          <w:i/>
          <w:sz w:val="24"/>
          <w:szCs w:val="24"/>
          <w:lang w:val="en-GB"/>
        </w:rPr>
        <w:t>e</w:t>
      </w:r>
      <w:r w:rsidR="007D5A82">
        <w:rPr>
          <w:rFonts w:ascii="Arial" w:eastAsiaTheme="minorHAnsi" w:hAnsi="Arial" w:cs="Arial"/>
          <w:sz w:val="24"/>
          <w:szCs w:val="24"/>
          <w:lang w:val="en-GB"/>
        </w:rPr>
        <w:t>)(</w:t>
      </w:r>
      <w:r w:rsidR="007D5A82">
        <w:rPr>
          <w:rFonts w:ascii="Arial" w:eastAsiaTheme="minorHAnsi" w:hAnsi="Arial" w:cs="Arial"/>
          <w:i/>
          <w:sz w:val="24"/>
          <w:szCs w:val="24"/>
          <w:lang w:val="en-GB"/>
        </w:rPr>
        <w:t>i</w:t>
      </w:r>
      <w:r w:rsidR="007D5A82">
        <w:rPr>
          <w:rFonts w:ascii="Arial" w:eastAsiaTheme="minorHAnsi" w:hAnsi="Arial" w:cs="Arial"/>
          <w:sz w:val="24"/>
          <w:szCs w:val="24"/>
          <w:lang w:val="en-GB"/>
        </w:rPr>
        <w:t xml:space="preserve">), the facts upon which he or she intends to rely in opposing the forfeiture application. I say so for the reason that in appropriate cases, the facts so provided may persuade the PG not to proceed to the step of applying for forfeiture. The information provided at this stage is </w:t>
      </w:r>
      <w:r w:rsidR="00E13BAE">
        <w:rPr>
          <w:rFonts w:ascii="Arial" w:eastAsiaTheme="minorHAnsi" w:hAnsi="Arial" w:cs="Arial"/>
          <w:sz w:val="24"/>
          <w:szCs w:val="24"/>
          <w:lang w:val="en-GB"/>
        </w:rPr>
        <w:t xml:space="preserve">therefore </w:t>
      </w:r>
      <w:r w:rsidR="007D5A82">
        <w:rPr>
          <w:rFonts w:ascii="Arial" w:eastAsiaTheme="minorHAnsi" w:hAnsi="Arial" w:cs="Arial"/>
          <w:sz w:val="24"/>
          <w:szCs w:val="24"/>
          <w:lang w:val="en-GB"/>
        </w:rPr>
        <w:t>not merely inconsequential.</w:t>
      </w:r>
    </w:p>
    <w:p w:rsidR="007D5A82" w:rsidRDefault="007D5A82" w:rsidP="00544493">
      <w:pPr>
        <w:spacing w:after="0" w:line="360" w:lineRule="auto"/>
        <w:jc w:val="both"/>
        <w:rPr>
          <w:rFonts w:ascii="Arial" w:eastAsiaTheme="minorHAnsi" w:hAnsi="Arial" w:cs="Arial"/>
          <w:sz w:val="24"/>
          <w:szCs w:val="24"/>
          <w:lang w:val="en-GB"/>
        </w:rPr>
      </w:pPr>
    </w:p>
    <w:p w:rsidR="00544493" w:rsidRDefault="00515A28" w:rsidP="00544493">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[31</w:t>
      </w:r>
      <w:r w:rsidR="007D5A82">
        <w:rPr>
          <w:rFonts w:ascii="Arial" w:eastAsiaTheme="minorHAnsi" w:hAnsi="Arial" w:cs="Arial"/>
          <w:sz w:val="24"/>
          <w:szCs w:val="24"/>
          <w:lang w:val="en-GB"/>
        </w:rPr>
        <w:t>]</w:t>
      </w:r>
      <w:r w:rsidR="007D5A82">
        <w:rPr>
          <w:rFonts w:ascii="Arial" w:eastAsiaTheme="minorHAnsi" w:hAnsi="Arial" w:cs="Arial"/>
          <w:sz w:val="24"/>
          <w:szCs w:val="24"/>
          <w:lang w:val="en-GB"/>
        </w:rPr>
        <w:tab/>
        <w:t>Second, it appears to me that the need to file further reasons in support of the opposition to the forfeiture application is also not superfluous. This is stated in recognition of the fact that the standards of proof required at the preservation stage is a tad lower than it is at forfeiture. It may appear to be a work of supererogation for a respondent to seem to repeat the same allegations in opposition to a forfeiture application but</w:t>
      </w:r>
      <w:r w:rsidR="00961539">
        <w:rPr>
          <w:rFonts w:ascii="Arial" w:eastAsiaTheme="minorHAnsi" w:hAnsi="Arial" w:cs="Arial"/>
          <w:sz w:val="24"/>
          <w:szCs w:val="24"/>
          <w:lang w:val="en-GB"/>
        </w:rPr>
        <w:t xml:space="preserve"> is</w:t>
      </w:r>
      <w:r w:rsidR="007D5A82">
        <w:rPr>
          <w:rFonts w:ascii="Arial" w:eastAsiaTheme="minorHAnsi" w:hAnsi="Arial" w:cs="Arial"/>
          <w:sz w:val="24"/>
          <w:szCs w:val="24"/>
          <w:lang w:val="en-GB"/>
        </w:rPr>
        <w:t xml:space="preserve"> not as the standard </w:t>
      </w:r>
      <w:r w:rsidR="00961539">
        <w:rPr>
          <w:rFonts w:ascii="Arial" w:eastAsiaTheme="minorHAnsi" w:hAnsi="Arial" w:cs="Arial"/>
          <w:sz w:val="24"/>
          <w:szCs w:val="24"/>
          <w:lang w:val="en-GB"/>
        </w:rPr>
        <w:t xml:space="preserve">required at the latter stage is higher, and which, in a sense, may work in the respondent’s favour, an advantage he or she may not enjoy if he or she contents him or herself with the information provided in relation to the previous stage of preservation. </w:t>
      </w:r>
      <w:r w:rsidR="00F614C8">
        <w:rPr>
          <w:rFonts w:ascii="Arial" w:eastAsiaTheme="minorHAnsi" w:hAnsi="Arial" w:cs="Arial"/>
          <w:sz w:val="24"/>
          <w:szCs w:val="24"/>
          <w:lang w:val="en-GB"/>
        </w:rPr>
        <w:t xml:space="preserve">  </w:t>
      </w:r>
    </w:p>
    <w:p w:rsidR="00FB58DD" w:rsidRDefault="00FB58DD" w:rsidP="003D2589">
      <w:pPr>
        <w:spacing w:before="240" w:after="240" w:line="360" w:lineRule="auto"/>
        <w:jc w:val="both"/>
        <w:rPr>
          <w:rFonts w:ascii="Arial" w:eastAsiaTheme="minorHAnsi" w:hAnsi="Arial" w:cs="Arial"/>
          <w:sz w:val="24"/>
          <w:szCs w:val="24"/>
          <w:u w:val="single"/>
          <w:lang w:val="en-GB"/>
        </w:rPr>
      </w:pPr>
      <w:r w:rsidRPr="00961539">
        <w:rPr>
          <w:rFonts w:ascii="Arial" w:eastAsiaTheme="minorHAnsi" w:hAnsi="Arial" w:cs="Arial"/>
          <w:sz w:val="24"/>
          <w:szCs w:val="24"/>
          <w:u w:val="single"/>
          <w:lang w:val="en-GB"/>
        </w:rPr>
        <w:t>The second respondent’s condonation application</w:t>
      </w:r>
    </w:p>
    <w:p w:rsidR="00961539" w:rsidRPr="00961539" w:rsidRDefault="00961539" w:rsidP="003D2589">
      <w:pPr>
        <w:spacing w:before="240" w:after="240" w:line="360" w:lineRule="auto"/>
        <w:jc w:val="both"/>
        <w:rPr>
          <w:rFonts w:ascii="Arial" w:eastAsiaTheme="minorHAnsi" w:hAnsi="Arial" w:cs="Arial"/>
          <w:sz w:val="24"/>
          <w:szCs w:val="24"/>
          <w:u w:val="single"/>
          <w:lang w:val="en-GB"/>
        </w:rPr>
      </w:pPr>
    </w:p>
    <w:p w:rsidR="00FB58DD" w:rsidRDefault="00515A28" w:rsidP="00544493">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[32</w:t>
      </w:r>
      <w:r w:rsidR="00FB58DD">
        <w:rPr>
          <w:rFonts w:ascii="Arial" w:eastAsiaTheme="minorHAnsi" w:hAnsi="Arial" w:cs="Arial"/>
          <w:sz w:val="24"/>
          <w:szCs w:val="24"/>
          <w:lang w:val="en-GB"/>
        </w:rPr>
        <w:t>]</w:t>
      </w:r>
      <w:r w:rsidR="00FB58DD">
        <w:rPr>
          <w:rFonts w:ascii="Arial" w:eastAsiaTheme="minorHAnsi" w:hAnsi="Arial" w:cs="Arial"/>
          <w:sz w:val="24"/>
          <w:szCs w:val="24"/>
          <w:lang w:val="en-GB"/>
        </w:rPr>
        <w:tab/>
      </w:r>
      <w:r w:rsidR="00EC12DE">
        <w:rPr>
          <w:rFonts w:ascii="Arial" w:eastAsiaTheme="minorHAnsi" w:hAnsi="Arial" w:cs="Arial"/>
          <w:sz w:val="24"/>
          <w:szCs w:val="24"/>
          <w:lang w:val="en-GB"/>
        </w:rPr>
        <w:t xml:space="preserve">It is common cause that the </w:t>
      </w:r>
      <w:r w:rsidR="00E53C65">
        <w:rPr>
          <w:rFonts w:ascii="Arial" w:eastAsiaTheme="minorHAnsi" w:hAnsi="Arial" w:cs="Arial"/>
          <w:sz w:val="24"/>
          <w:szCs w:val="24"/>
          <w:lang w:val="en-GB"/>
        </w:rPr>
        <w:t>04 May 2018</w:t>
      </w:r>
      <w:r w:rsidR="00961539">
        <w:rPr>
          <w:rFonts w:ascii="Arial" w:eastAsiaTheme="minorHAnsi" w:hAnsi="Arial" w:cs="Arial"/>
          <w:sz w:val="24"/>
          <w:szCs w:val="24"/>
          <w:lang w:val="en-GB"/>
        </w:rPr>
        <w:t>, a</w:t>
      </w:r>
      <w:r w:rsidR="00E53C65">
        <w:rPr>
          <w:rFonts w:ascii="Arial" w:eastAsiaTheme="minorHAnsi" w:hAnsi="Arial" w:cs="Arial"/>
          <w:sz w:val="24"/>
          <w:szCs w:val="24"/>
          <w:lang w:val="en-GB"/>
        </w:rPr>
        <w:t xml:space="preserve"> </w:t>
      </w:r>
      <w:r w:rsidR="00EC12DE">
        <w:rPr>
          <w:rFonts w:ascii="Arial" w:eastAsiaTheme="minorHAnsi" w:hAnsi="Arial" w:cs="Arial"/>
          <w:sz w:val="24"/>
          <w:szCs w:val="24"/>
          <w:lang w:val="en-GB"/>
        </w:rPr>
        <w:t xml:space="preserve">preservation order was served on the second respondent (hereinafter referred to as BIPA) on 08 May 2018. </w:t>
      </w:r>
      <w:r w:rsidR="00E53C65">
        <w:rPr>
          <w:rFonts w:ascii="Arial" w:eastAsiaTheme="minorHAnsi" w:hAnsi="Arial" w:cs="Arial"/>
          <w:sz w:val="24"/>
          <w:szCs w:val="24"/>
          <w:lang w:val="en-GB"/>
        </w:rPr>
        <w:t>On 12 June 2018</w:t>
      </w:r>
      <w:r w:rsidR="00961539">
        <w:rPr>
          <w:rFonts w:ascii="Arial" w:eastAsiaTheme="minorHAnsi" w:hAnsi="Arial" w:cs="Arial"/>
          <w:sz w:val="24"/>
          <w:szCs w:val="24"/>
          <w:lang w:val="en-GB"/>
        </w:rPr>
        <w:t>,</w:t>
      </w:r>
      <w:r w:rsidR="00E53C65">
        <w:rPr>
          <w:rFonts w:ascii="Arial" w:eastAsiaTheme="minorHAnsi" w:hAnsi="Arial" w:cs="Arial"/>
          <w:sz w:val="24"/>
          <w:szCs w:val="24"/>
          <w:lang w:val="en-GB"/>
        </w:rPr>
        <w:t xml:space="preserve"> BIPA filed its statutory notice and accompanying affidavit.</w:t>
      </w:r>
      <w:r w:rsidR="00961539">
        <w:rPr>
          <w:rFonts w:ascii="Arial" w:eastAsiaTheme="minorHAnsi" w:hAnsi="Arial" w:cs="Arial"/>
          <w:sz w:val="24"/>
          <w:szCs w:val="24"/>
          <w:lang w:val="en-GB"/>
        </w:rPr>
        <w:t xml:space="preserve"> In such affidavit BIPA</w:t>
      </w:r>
      <w:r w:rsidR="00E53C65">
        <w:rPr>
          <w:rFonts w:ascii="Arial" w:eastAsiaTheme="minorHAnsi" w:hAnsi="Arial" w:cs="Arial"/>
          <w:sz w:val="24"/>
          <w:szCs w:val="24"/>
          <w:lang w:val="en-GB"/>
        </w:rPr>
        <w:t xml:space="preserve"> indicated its intention to seek condonation fo</w:t>
      </w:r>
      <w:r w:rsidR="00D66C70">
        <w:rPr>
          <w:rFonts w:ascii="Arial" w:eastAsiaTheme="minorHAnsi" w:hAnsi="Arial" w:cs="Arial"/>
          <w:sz w:val="24"/>
          <w:szCs w:val="24"/>
          <w:lang w:val="en-GB"/>
        </w:rPr>
        <w:t>r the late filing of its s</w:t>
      </w:r>
      <w:r w:rsidR="00E53C65">
        <w:rPr>
          <w:rFonts w:ascii="Arial" w:eastAsiaTheme="minorHAnsi" w:hAnsi="Arial" w:cs="Arial"/>
          <w:sz w:val="24"/>
          <w:szCs w:val="24"/>
          <w:lang w:val="en-GB"/>
        </w:rPr>
        <w:t xml:space="preserve"> 52 POCA notice and affidavit. </w:t>
      </w:r>
    </w:p>
    <w:p w:rsidR="00E53C65" w:rsidRDefault="00E53C65" w:rsidP="00F323CD">
      <w:pPr>
        <w:spacing w:after="0" w:line="480" w:lineRule="auto"/>
        <w:jc w:val="both"/>
        <w:rPr>
          <w:rFonts w:ascii="Arial" w:eastAsiaTheme="minorHAnsi" w:hAnsi="Arial" w:cs="Arial"/>
          <w:sz w:val="24"/>
          <w:szCs w:val="24"/>
          <w:lang w:val="en-GB"/>
        </w:rPr>
      </w:pPr>
    </w:p>
    <w:p w:rsidR="00E53C65" w:rsidRDefault="00515A28" w:rsidP="00544493">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[33</w:t>
      </w:r>
      <w:r w:rsidR="00E53C65">
        <w:rPr>
          <w:rFonts w:ascii="Arial" w:eastAsiaTheme="minorHAnsi" w:hAnsi="Arial" w:cs="Arial"/>
          <w:sz w:val="24"/>
          <w:szCs w:val="24"/>
          <w:lang w:val="en-GB"/>
        </w:rPr>
        <w:t>]</w:t>
      </w:r>
      <w:r w:rsidR="00E53C65">
        <w:rPr>
          <w:rFonts w:ascii="Arial" w:eastAsiaTheme="minorHAnsi" w:hAnsi="Arial" w:cs="Arial"/>
          <w:sz w:val="24"/>
          <w:szCs w:val="24"/>
          <w:lang w:val="en-GB"/>
        </w:rPr>
        <w:tab/>
        <w:t>On 02 October 2018</w:t>
      </w:r>
      <w:r w:rsidR="00961539">
        <w:rPr>
          <w:rFonts w:ascii="Arial" w:eastAsiaTheme="minorHAnsi" w:hAnsi="Arial" w:cs="Arial"/>
          <w:sz w:val="24"/>
          <w:szCs w:val="24"/>
          <w:lang w:val="en-GB"/>
        </w:rPr>
        <w:t>,</w:t>
      </w:r>
      <w:r w:rsidR="00E53C65">
        <w:rPr>
          <w:rFonts w:ascii="Arial" w:eastAsiaTheme="minorHAnsi" w:hAnsi="Arial" w:cs="Arial"/>
          <w:sz w:val="24"/>
          <w:szCs w:val="24"/>
          <w:lang w:val="en-GB"/>
        </w:rPr>
        <w:t xml:space="preserve"> the PG filed a status report wherein she indicated that BIPA was non-compliant with the time</w:t>
      </w:r>
      <w:r w:rsidR="00D66C70">
        <w:rPr>
          <w:rFonts w:ascii="Arial" w:eastAsiaTheme="minorHAnsi" w:hAnsi="Arial" w:cs="Arial"/>
          <w:sz w:val="24"/>
          <w:szCs w:val="24"/>
          <w:lang w:val="en-GB"/>
        </w:rPr>
        <w:t>-periods provided for in s</w:t>
      </w:r>
      <w:r w:rsidR="00E53C65">
        <w:rPr>
          <w:rFonts w:ascii="Arial" w:eastAsiaTheme="minorHAnsi" w:hAnsi="Arial" w:cs="Arial"/>
          <w:sz w:val="24"/>
          <w:szCs w:val="24"/>
          <w:lang w:val="en-GB"/>
        </w:rPr>
        <w:t xml:space="preserve"> 52 of POCA. BIPA </w:t>
      </w:r>
      <w:r w:rsidR="00983D71">
        <w:rPr>
          <w:rFonts w:ascii="Arial" w:eastAsiaTheme="minorHAnsi" w:hAnsi="Arial" w:cs="Arial"/>
          <w:sz w:val="24"/>
          <w:szCs w:val="24"/>
          <w:lang w:val="en-GB"/>
        </w:rPr>
        <w:t>responded with a disjunctive notice of motion, relying on its 12 June 2018 affidavit,</w:t>
      </w:r>
      <w:r w:rsidR="00E53C65">
        <w:rPr>
          <w:rFonts w:ascii="Arial" w:eastAsiaTheme="minorHAnsi" w:hAnsi="Arial" w:cs="Arial"/>
          <w:sz w:val="24"/>
          <w:szCs w:val="24"/>
          <w:lang w:val="en-GB"/>
        </w:rPr>
        <w:t xml:space="preserve"> wherein it sought condonation for the late fili</w:t>
      </w:r>
      <w:r w:rsidR="00D66C70">
        <w:rPr>
          <w:rFonts w:ascii="Arial" w:eastAsiaTheme="minorHAnsi" w:hAnsi="Arial" w:cs="Arial"/>
          <w:sz w:val="24"/>
          <w:szCs w:val="24"/>
          <w:lang w:val="en-GB"/>
        </w:rPr>
        <w:t>ng of its s</w:t>
      </w:r>
      <w:r w:rsidR="00E53C65">
        <w:rPr>
          <w:rFonts w:ascii="Arial" w:eastAsiaTheme="minorHAnsi" w:hAnsi="Arial" w:cs="Arial"/>
          <w:sz w:val="24"/>
          <w:szCs w:val="24"/>
          <w:lang w:val="en-GB"/>
        </w:rPr>
        <w:t xml:space="preserve"> 52 notice and affidavit.</w:t>
      </w:r>
      <w:r w:rsidR="0026082D">
        <w:rPr>
          <w:rFonts w:ascii="Arial" w:eastAsiaTheme="minorHAnsi" w:hAnsi="Arial" w:cs="Arial"/>
          <w:sz w:val="24"/>
          <w:szCs w:val="24"/>
          <w:lang w:val="en-GB"/>
        </w:rPr>
        <w:t xml:space="preserve"> The PG opposes the </w:t>
      </w:r>
      <w:r w:rsidR="00961539">
        <w:rPr>
          <w:rFonts w:ascii="Arial" w:eastAsiaTheme="minorHAnsi" w:hAnsi="Arial" w:cs="Arial"/>
          <w:sz w:val="24"/>
          <w:szCs w:val="24"/>
          <w:lang w:val="en-GB"/>
        </w:rPr>
        <w:t xml:space="preserve">application for </w:t>
      </w:r>
      <w:r w:rsidR="0026082D">
        <w:rPr>
          <w:rFonts w:ascii="Arial" w:eastAsiaTheme="minorHAnsi" w:hAnsi="Arial" w:cs="Arial"/>
          <w:sz w:val="24"/>
          <w:szCs w:val="24"/>
          <w:lang w:val="en-GB"/>
        </w:rPr>
        <w:t>condonation.</w:t>
      </w:r>
    </w:p>
    <w:p w:rsidR="0026082D" w:rsidRDefault="0026082D" w:rsidP="00F323CD">
      <w:pPr>
        <w:spacing w:after="0" w:line="480" w:lineRule="auto"/>
        <w:jc w:val="both"/>
        <w:rPr>
          <w:rFonts w:ascii="Arial" w:eastAsiaTheme="minorHAnsi" w:hAnsi="Arial" w:cs="Arial"/>
          <w:sz w:val="24"/>
          <w:szCs w:val="24"/>
          <w:lang w:val="en-GB"/>
        </w:rPr>
      </w:pPr>
    </w:p>
    <w:p w:rsidR="0026082D" w:rsidRDefault="00515A28" w:rsidP="00544493">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[34</w:t>
      </w:r>
      <w:r w:rsidR="0026082D">
        <w:rPr>
          <w:rFonts w:ascii="Arial" w:eastAsiaTheme="minorHAnsi" w:hAnsi="Arial" w:cs="Arial"/>
          <w:sz w:val="24"/>
          <w:szCs w:val="24"/>
          <w:lang w:val="en-GB"/>
        </w:rPr>
        <w:t>]</w:t>
      </w:r>
      <w:r w:rsidR="0026082D">
        <w:rPr>
          <w:rFonts w:ascii="Arial" w:eastAsiaTheme="minorHAnsi" w:hAnsi="Arial" w:cs="Arial"/>
          <w:sz w:val="24"/>
          <w:szCs w:val="24"/>
          <w:lang w:val="en-GB"/>
        </w:rPr>
        <w:tab/>
        <w:t xml:space="preserve">It was contended in argument by </w:t>
      </w:r>
      <w:r w:rsidR="00E91140">
        <w:rPr>
          <w:rFonts w:ascii="Arial" w:eastAsiaTheme="minorHAnsi" w:hAnsi="Arial" w:cs="Arial"/>
          <w:sz w:val="24"/>
          <w:szCs w:val="24"/>
          <w:lang w:val="en-GB"/>
        </w:rPr>
        <w:t>Mr. Kauta, representing BIP</w:t>
      </w:r>
      <w:r w:rsidR="00961539">
        <w:rPr>
          <w:rFonts w:ascii="Arial" w:eastAsiaTheme="minorHAnsi" w:hAnsi="Arial" w:cs="Arial"/>
          <w:sz w:val="24"/>
          <w:szCs w:val="24"/>
          <w:lang w:val="en-GB"/>
        </w:rPr>
        <w:t>A, that the application of 03 October 2018 was merely filed</w:t>
      </w:r>
      <w:r w:rsidR="00E91140">
        <w:rPr>
          <w:rFonts w:ascii="Arial" w:eastAsiaTheme="minorHAnsi" w:hAnsi="Arial" w:cs="Arial"/>
          <w:sz w:val="24"/>
          <w:szCs w:val="24"/>
          <w:lang w:val="en-GB"/>
        </w:rPr>
        <w:t xml:space="preserve"> </w:t>
      </w:r>
      <w:r w:rsidR="00E91140">
        <w:rPr>
          <w:rFonts w:ascii="Arial" w:eastAsiaTheme="minorHAnsi" w:hAnsi="Arial" w:cs="Arial"/>
          <w:i/>
          <w:sz w:val="24"/>
          <w:szCs w:val="24"/>
          <w:lang w:val="en-GB"/>
        </w:rPr>
        <w:t>ex abundanti cautela</w:t>
      </w:r>
      <w:r w:rsidR="00E91140">
        <w:rPr>
          <w:rFonts w:ascii="Arial" w:eastAsiaTheme="minorHAnsi" w:hAnsi="Arial" w:cs="Arial"/>
          <w:sz w:val="24"/>
          <w:szCs w:val="24"/>
          <w:lang w:val="en-GB"/>
        </w:rPr>
        <w:t xml:space="preserve"> as BIPA </w:t>
      </w:r>
      <w:r w:rsidR="00961539">
        <w:rPr>
          <w:rFonts w:ascii="Arial" w:eastAsiaTheme="minorHAnsi" w:hAnsi="Arial" w:cs="Arial"/>
          <w:sz w:val="24"/>
          <w:szCs w:val="24"/>
          <w:lang w:val="en-GB"/>
        </w:rPr>
        <w:t>had</w:t>
      </w:r>
      <w:r w:rsidR="00E13BAE">
        <w:rPr>
          <w:rFonts w:ascii="Arial" w:eastAsiaTheme="minorHAnsi" w:hAnsi="Arial" w:cs="Arial"/>
          <w:sz w:val="24"/>
          <w:szCs w:val="24"/>
          <w:lang w:val="en-GB"/>
        </w:rPr>
        <w:t>, on</w:t>
      </w:r>
      <w:r w:rsidR="00E91140">
        <w:rPr>
          <w:rFonts w:ascii="Arial" w:eastAsiaTheme="minorHAnsi" w:hAnsi="Arial" w:cs="Arial"/>
          <w:sz w:val="24"/>
          <w:szCs w:val="24"/>
          <w:lang w:val="en-GB"/>
        </w:rPr>
        <w:t xml:space="preserve"> 12 June 2018</w:t>
      </w:r>
      <w:r w:rsidR="008A476C">
        <w:rPr>
          <w:rFonts w:ascii="Arial" w:eastAsiaTheme="minorHAnsi" w:hAnsi="Arial" w:cs="Arial"/>
          <w:sz w:val="24"/>
          <w:szCs w:val="24"/>
          <w:lang w:val="en-GB"/>
        </w:rPr>
        <w:t>,</w:t>
      </w:r>
      <w:r w:rsidR="00E91140">
        <w:rPr>
          <w:rFonts w:ascii="Arial" w:eastAsiaTheme="minorHAnsi" w:hAnsi="Arial" w:cs="Arial"/>
          <w:sz w:val="24"/>
          <w:szCs w:val="24"/>
          <w:lang w:val="en-GB"/>
        </w:rPr>
        <w:t xml:space="preserve"> </w:t>
      </w:r>
      <w:r w:rsidR="00961539">
        <w:rPr>
          <w:rFonts w:ascii="Arial" w:eastAsiaTheme="minorHAnsi" w:hAnsi="Arial" w:cs="Arial"/>
          <w:sz w:val="24"/>
          <w:szCs w:val="24"/>
          <w:lang w:val="en-GB"/>
        </w:rPr>
        <w:t xml:space="preserve">already </w:t>
      </w:r>
      <w:r w:rsidR="00E91140">
        <w:rPr>
          <w:rFonts w:ascii="Arial" w:eastAsiaTheme="minorHAnsi" w:hAnsi="Arial" w:cs="Arial"/>
          <w:sz w:val="24"/>
          <w:szCs w:val="24"/>
          <w:lang w:val="en-GB"/>
        </w:rPr>
        <w:t>substantially indicated its intention to seek condonation. As such, so he contented, BIPA substantially complie</w:t>
      </w:r>
      <w:r w:rsidR="00D66C70">
        <w:rPr>
          <w:rFonts w:ascii="Arial" w:eastAsiaTheme="minorHAnsi" w:hAnsi="Arial" w:cs="Arial"/>
          <w:sz w:val="24"/>
          <w:szCs w:val="24"/>
          <w:lang w:val="en-GB"/>
        </w:rPr>
        <w:t>d with the provisions of s</w:t>
      </w:r>
      <w:r w:rsidR="00E91140">
        <w:rPr>
          <w:rFonts w:ascii="Arial" w:eastAsiaTheme="minorHAnsi" w:hAnsi="Arial" w:cs="Arial"/>
          <w:sz w:val="24"/>
          <w:szCs w:val="24"/>
          <w:lang w:val="en-GB"/>
        </w:rPr>
        <w:t xml:space="preserve"> 60(1) of POCA. </w:t>
      </w:r>
      <w:r w:rsidR="0014460A">
        <w:rPr>
          <w:rFonts w:ascii="Arial" w:eastAsiaTheme="minorHAnsi" w:hAnsi="Arial" w:cs="Arial"/>
          <w:sz w:val="24"/>
          <w:szCs w:val="24"/>
          <w:lang w:val="en-GB"/>
        </w:rPr>
        <w:t xml:space="preserve">The thrust of his argument further suggested that </w:t>
      </w:r>
      <w:r w:rsidR="00961539">
        <w:rPr>
          <w:rFonts w:ascii="Arial" w:eastAsiaTheme="minorHAnsi" w:hAnsi="Arial" w:cs="Arial"/>
          <w:sz w:val="24"/>
          <w:szCs w:val="24"/>
          <w:lang w:val="en-GB"/>
        </w:rPr>
        <w:t>the PG elected to acquiesce in</w:t>
      </w:r>
      <w:r w:rsidR="0014460A">
        <w:rPr>
          <w:rFonts w:ascii="Arial" w:eastAsiaTheme="minorHAnsi" w:hAnsi="Arial" w:cs="Arial"/>
          <w:sz w:val="24"/>
          <w:szCs w:val="24"/>
          <w:lang w:val="en-GB"/>
        </w:rPr>
        <w:t xml:space="preserve"> BIPA’s condonation in June 2018 and that its subsequent opposition impermissibly prevaricates </w:t>
      </w:r>
      <w:r w:rsidR="00D66C70">
        <w:rPr>
          <w:rFonts w:ascii="Arial" w:eastAsiaTheme="minorHAnsi" w:hAnsi="Arial" w:cs="Arial"/>
          <w:sz w:val="24"/>
          <w:szCs w:val="24"/>
          <w:lang w:val="en-GB"/>
        </w:rPr>
        <w:t xml:space="preserve">in </w:t>
      </w:r>
      <w:r w:rsidR="0014460A">
        <w:rPr>
          <w:rFonts w:ascii="Arial" w:eastAsiaTheme="minorHAnsi" w:hAnsi="Arial" w:cs="Arial"/>
          <w:sz w:val="24"/>
          <w:szCs w:val="24"/>
          <w:lang w:val="en-GB"/>
        </w:rPr>
        <w:t xml:space="preserve">its conduct of litigation. </w:t>
      </w:r>
    </w:p>
    <w:p w:rsidR="00AC6EB0" w:rsidRDefault="00AC6EB0" w:rsidP="00F323CD">
      <w:pPr>
        <w:spacing w:after="0" w:line="480" w:lineRule="auto"/>
        <w:jc w:val="both"/>
        <w:rPr>
          <w:rFonts w:ascii="Arial" w:eastAsiaTheme="minorHAnsi" w:hAnsi="Arial" w:cs="Arial"/>
          <w:sz w:val="24"/>
          <w:szCs w:val="24"/>
          <w:lang w:val="en-GB"/>
        </w:rPr>
      </w:pPr>
    </w:p>
    <w:p w:rsidR="00AC6EB0" w:rsidRDefault="00515A28" w:rsidP="00544493">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[35</w:t>
      </w:r>
      <w:r w:rsidR="00AC6EB0">
        <w:rPr>
          <w:rFonts w:ascii="Arial" w:eastAsiaTheme="minorHAnsi" w:hAnsi="Arial" w:cs="Arial"/>
          <w:sz w:val="24"/>
          <w:szCs w:val="24"/>
          <w:lang w:val="en-GB"/>
        </w:rPr>
        <w:t>]</w:t>
      </w:r>
      <w:r w:rsidR="00AC6EB0">
        <w:rPr>
          <w:rFonts w:ascii="Arial" w:eastAsiaTheme="minorHAnsi" w:hAnsi="Arial" w:cs="Arial"/>
          <w:sz w:val="24"/>
          <w:szCs w:val="24"/>
          <w:lang w:val="en-GB"/>
        </w:rPr>
        <w:tab/>
        <w:t>Mr</w:t>
      </w:r>
      <w:r w:rsidR="00961539">
        <w:rPr>
          <w:rFonts w:ascii="Arial" w:eastAsiaTheme="minorHAnsi" w:hAnsi="Arial" w:cs="Arial"/>
          <w:sz w:val="24"/>
          <w:szCs w:val="24"/>
          <w:lang w:val="en-GB"/>
        </w:rPr>
        <w:t>.</w:t>
      </w:r>
      <w:r w:rsidR="008A476C">
        <w:rPr>
          <w:rFonts w:ascii="Arial" w:eastAsiaTheme="minorHAnsi" w:hAnsi="Arial" w:cs="Arial"/>
          <w:sz w:val="24"/>
          <w:szCs w:val="24"/>
          <w:lang w:val="en-GB"/>
        </w:rPr>
        <w:t xml:space="preserve"> Kauta further submitted in</w:t>
      </w:r>
      <w:r w:rsidR="00AC6EB0">
        <w:rPr>
          <w:rFonts w:ascii="Arial" w:eastAsiaTheme="minorHAnsi" w:hAnsi="Arial" w:cs="Arial"/>
          <w:sz w:val="24"/>
          <w:szCs w:val="24"/>
          <w:lang w:val="en-GB"/>
        </w:rPr>
        <w:t xml:space="preserve"> his written heads of argument, and as further amplified in oral argument, that certain jurisdictional facts must be present in order to </w:t>
      </w:r>
      <w:r w:rsidR="00D66C70">
        <w:rPr>
          <w:rFonts w:ascii="Arial" w:eastAsiaTheme="minorHAnsi" w:hAnsi="Arial" w:cs="Arial"/>
          <w:sz w:val="24"/>
          <w:szCs w:val="24"/>
          <w:lang w:val="en-GB"/>
        </w:rPr>
        <w:t>invoke the provisions of s</w:t>
      </w:r>
      <w:r w:rsidR="00961539">
        <w:rPr>
          <w:rFonts w:ascii="Arial" w:eastAsiaTheme="minorHAnsi" w:hAnsi="Arial" w:cs="Arial"/>
          <w:sz w:val="24"/>
          <w:szCs w:val="24"/>
          <w:lang w:val="en-GB"/>
        </w:rPr>
        <w:t xml:space="preserve"> 60(1) of</w:t>
      </w:r>
      <w:r w:rsidR="00AC6EB0">
        <w:rPr>
          <w:rFonts w:ascii="Arial" w:eastAsiaTheme="minorHAnsi" w:hAnsi="Arial" w:cs="Arial"/>
          <w:sz w:val="24"/>
          <w:szCs w:val="24"/>
          <w:lang w:val="en-GB"/>
        </w:rPr>
        <w:t xml:space="preserve"> POCA. These facts, so he submitted, are that (a) a person must have failed to give a notice within</w:t>
      </w:r>
      <w:r w:rsidR="00961539">
        <w:rPr>
          <w:rFonts w:ascii="Arial" w:eastAsiaTheme="minorHAnsi" w:hAnsi="Arial" w:cs="Arial"/>
          <w:sz w:val="24"/>
          <w:szCs w:val="24"/>
          <w:lang w:val="en-GB"/>
        </w:rPr>
        <w:t xml:space="preserve"> the period specified in</w:t>
      </w:r>
      <w:r w:rsidR="00D66C70">
        <w:rPr>
          <w:rFonts w:ascii="Arial" w:eastAsiaTheme="minorHAnsi" w:hAnsi="Arial" w:cs="Arial"/>
          <w:sz w:val="24"/>
          <w:szCs w:val="24"/>
          <w:lang w:val="en-GB"/>
        </w:rPr>
        <w:t xml:space="preserve"> s</w:t>
      </w:r>
      <w:r w:rsidR="00AC6EB0">
        <w:rPr>
          <w:rFonts w:ascii="Arial" w:eastAsiaTheme="minorHAnsi" w:hAnsi="Arial" w:cs="Arial"/>
          <w:sz w:val="24"/>
          <w:szCs w:val="24"/>
          <w:lang w:val="en-GB"/>
        </w:rPr>
        <w:t xml:space="preserve"> 52(4) of the POCA; (b) such section gives 21 days from date of service or publication in the Gazette; (c) the application must be filed within 14 days of becoming aware of the existence of a preservation order; and (d) the application must be for th</w:t>
      </w:r>
      <w:r w:rsidR="00F10A52">
        <w:rPr>
          <w:rFonts w:ascii="Arial" w:eastAsiaTheme="minorHAnsi" w:hAnsi="Arial" w:cs="Arial"/>
          <w:sz w:val="24"/>
          <w:szCs w:val="24"/>
          <w:lang w:val="en-GB"/>
        </w:rPr>
        <w:t>e failure to comply with s</w:t>
      </w:r>
      <w:r w:rsidR="00AC6EB0">
        <w:rPr>
          <w:rFonts w:ascii="Arial" w:eastAsiaTheme="minorHAnsi" w:hAnsi="Arial" w:cs="Arial"/>
          <w:sz w:val="24"/>
          <w:szCs w:val="24"/>
          <w:lang w:val="en-GB"/>
        </w:rPr>
        <w:t xml:space="preserve"> 52(4).</w:t>
      </w:r>
    </w:p>
    <w:p w:rsidR="00AC6EB0" w:rsidRDefault="00AC6EB0" w:rsidP="00F323CD">
      <w:pPr>
        <w:spacing w:after="0" w:line="480" w:lineRule="auto"/>
        <w:jc w:val="both"/>
        <w:rPr>
          <w:rFonts w:ascii="Arial" w:eastAsiaTheme="minorHAnsi" w:hAnsi="Arial" w:cs="Arial"/>
          <w:sz w:val="24"/>
          <w:szCs w:val="24"/>
          <w:lang w:val="en-GB"/>
        </w:rPr>
      </w:pPr>
    </w:p>
    <w:p w:rsidR="00AC6EB0" w:rsidRDefault="00515A28" w:rsidP="00983D71">
      <w:pPr>
        <w:spacing w:before="240" w:after="240" w:line="360" w:lineRule="auto"/>
        <w:jc w:val="both"/>
        <w:rPr>
          <w:rFonts w:ascii="Arial" w:eastAsiaTheme="minorHAnsi" w:hAnsi="Arial" w:cs="Arial"/>
          <w:sz w:val="24"/>
          <w:szCs w:val="24"/>
          <w:lang w:val="en-GB"/>
        </w:rPr>
      </w:pPr>
      <w:r>
        <w:rPr>
          <w:rFonts w:ascii="Arial" w:eastAsiaTheme="minorHAnsi" w:hAnsi="Arial" w:cs="Arial"/>
          <w:sz w:val="24"/>
          <w:szCs w:val="24"/>
          <w:lang w:val="en-GB"/>
        </w:rPr>
        <w:t>[36</w:t>
      </w:r>
      <w:r w:rsidR="00AC6EB0">
        <w:rPr>
          <w:rFonts w:ascii="Arial" w:eastAsiaTheme="minorHAnsi" w:hAnsi="Arial" w:cs="Arial"/>
          <w:sz w:val="24"/>
          <w:szCs w:val="24"/>
          <w:lang w:val="en-GB"/>
        </w:rPr>
        <w:t>]</w:t>
      </w:r>
      <w:r w:rsidR="00AC6EB0">
        <w:rPr>
          <w:rFonts w:ascii="Arial" w:eastAsiaTheme="minorHAnsi" w:hAnsi="Arial" w:cs="Arial"/>
          <w:sz w:val="24"/>
          <w:szCs w:val="24"/>
          <w:lang w:val="en-GB"/>
        </w:rPr>
        <w:tab/>
        <w:t xml:space="preserve">It is on the basis of these </w:t>
      </w:r>
      <w:r w:rsidR="00961539">
        <w:rPr>
          <w:rFonts w:ascii="Arial" w:eastAsiaTheme="minorHAnsi" w:hAnsi="Arial" w:cs="Arial"/>
          <w:sz w:val="24"/>
          <w:szCs w:val="24"/>
          <w:lang w:val="en-GB"/>
        </w:rPr>
        <w:t>‘jurisdictional facts’</w:t>
      </w:r>
      <w:r w:rsidR="00AC6EB0">
        <w:rPr>
          <w:rFonts w:ascii="Arial" w:eastAsiaTheme="minorHAnsi" w:hAnsi="Arial" w:cs="Arial"/>
          <w:sz w:val="24"/>
          <w:szCs w:val="24"/>
          <w:lang w:val="en-GB"/>
        </w:rPr>
        <w:t xml:space="preserve"> that Mr. Kauta reasoned that</w:t>
      </w:r>
      <w:r w:rsidR="00F10A52">
        <w:rPr>
          <w:rFonts w:ascii="Arial" w:eastAsiaTheme="minorHAnsi" w:hAnsi="Arial" w:cs="Arial"/>
          <w:sz w:val="24"/>
          <w:szCs w:val="24"/>
          <w:lang w:val="en-GB"/>
        </w:rPr>
        <w:t xml:space="preserve"> on a proper reading of ss</w:t>
      </w:r>
      <w:r w:rsidR="00961539">
        <w:rPr>
          <w:rFonts w:ascii="Arial" w:eastAsiaTheme="minorHAnsi" w:hAnsi="Arial" w:cs="Arial"/>
          <w:sz w:val="24"/>
          <w:szCs w:val="24"/>
          <w:lang w:val="en-GB"/>
        </w:rPr>
        <w:t xml:space="preserve"> 52(4) and 60(1) of</w:t>
      </w:r>
      <w:r w:rsidR="00AC6EB0">
        <w:rPr>
          <w:rFonts w:ascii="Arial" w:eastAsiaTheme="minorHAnsi" w:hAnsi="Arial" w:cs="Arial"/>
          <w:sz w:val="24"/>
          <w:szCs w:val="24"/>
          <w:lang w:val="en-GB"/>
        </w:rPr>
        <w:t xml:space="preserve"> POCA, the 14 days within which to apply for condonation begins to run after the lapse </w:t>
      </w:r>
      <w:r w:rsidR="00F10A52">
        <w:rPr>
          <w:rFonts w:ascii="Arial" w:eastAsiaTheme="minorHAnsi" w:hAnsi="Arial" w:cs="Arial"/>
          <w:sz w:val="24"/>
          <w:szCs w:val="24"/>
          <w:lang w:val="en-GB"/>
        </w:rPr>
        <w:t>of 21 days as set out in s</w:t>
      </w:r>
      <w:r w:rsidR="00AC6EB0">
        <w:rPr>
          <w:rFonts w:ascii="Arial" w:eastAsiaTheme="minorHAnsi" w:hAnsi="Arial" w:cs="Arial"/>
          <w:sz w:val="24"/>
          <w:szCs w:val="24"/>
          <w:lang w:val="en-GB"/>
        </w:rPr>
        <w:t xml:space="preserve"> 52(4) for a person who has been served with the preservation order. Accordingly, so the argument developed, the application for condonation was within the permissible </w:t>
      </w:r>
      <w:r w:rsidR="00961539">
        <w:rPr>
          <w:rFonts w:ascii="Arial" w:eastAsiaTheme="minorHAnsi" w:hAnsi="Arial" w:cs="Arial"/>
          <w:sz w:val="24"/>
          <w:szCs w:val="24"/>
          <w:lang w:val="en-GB"/>
        </w:rPr>
        <w:t xml:space="preserve">period of </w:t>
      </w:r>
      <w:r w:rsidR="00AC6EB0">
        <w:rPr>
          <w:rFonts w:ascii="Arial" w:eastAsiaTheme="minorHAnsi" w:hAnsi="Arial" w:cs="Arial"/>
          <w:sz w:val="24"/>
          <w:szCs w:val="24"/>
          <w:lang w:val="en-GB"/>
        </w:rPr>
        <w:t>14 days</w:t>
      </w:r>
      <w:r w:rsidR="00D222E5">
        <w:rPr>
          <w:rFonts w:ascii="Arial" w:eastAsiaTheme="minorHAnsi" w:hAnsi="Arial" w:cs="Arial"/>
          <w:sz w:val="24"/>
          <w:szCs w:val="24"/>
          <w:lang w:val="en-GB"/>
        </w:rPr>
        <w:t xml:space="preserve">. Such reasoning appears to be underscored by his submission that, since the application was served on BIPA on 8 May 2018, the 21 days expired on 29 May 2018, and the 14 days only expired on 12 June 2018, i.e. the date on which BIPA filed its statutory notice and affidavit (including therein a reference in the paragraphs 7; 7.2; 85 and 86 to condonation for the late filing). </w:t>
      </w:r>
    </w:p>
    <w:p w:rsidR="00515A28" w:rsidRDefault="00515A28" w:rsidP="00983D71">
      <w:pPr>
        <w:spacing w:before="240" w:after="240" w:line="360" w:lineRule="auto"/>
        <w:jc w:val="both"/>
        <w:rPr>
          <w:rFonts w:ascii="Arial" w:eastAsiaTheme="minorHAnsi" w:hAnsi="Arial" w:cs="Arial"/>
          <w:sz w:val="24"/>
          <w:szCs w:val="24"/>
          <w:lang w:val="en-GB"/>
        </w:rPr>
      </w:pPr>
    </w:p>
    <w:p w:rsidR="00AC0507" w:rsidRDefault="00AC0507" w:rsidP="00983D71">
      <w:pPr>
        <w:spacing w:before="240" w:after="240" w:line="360" w:lineRule="auto"/>
        <w:jc w:val="both"/>
        <w:rPr>
          <w:rFonts w:ascii="Arial" w:eastAsiaTheme="minorHAnsi" w:hAnsi="Arial" w:cs="Arial"/>
          <w:sz w:val="24"/>
          <w:szCs w:val="24"/>
          <w:lang w:val="en-GB"/>
        </w:rPr>
      </w:pPr>
      <w:r>
        <w:rPr>
          <w:rFonts w:ascii="Arial" w:eastAsiaTheme="minorHAnsi" w:hAnsi="Arial" w:cs="Arial"/>
          <w:sz w:val="24"/>
          <w:szCs w:val="24"/>
          <w:lang w:val="en-GB"/>
        </w:rPr>
        <w:t>[</w:t>
      </w:r>
      <w:r w:rsidR="00515A28">
        <w:rPr>
          <w:rFonts w:ascii="Arial" w:eastAsiaTheme="minorHAnsi" w:hAnsi="Arial" w:cs="Arial"/>
          <w:sz w:val="24"/>
          <w:szCs w:val="24"/>
          <w:lang w:val="en-GB"/>
        </w:rPr>
        <w:t>37</w:t>
      </w:r>
      <w:r>
        <w:rPr>
          <w:rFonts w:ascii="Arial" w:eastAsiaTheme="minorHAnsi" w:hAnsi="Arial" w:cs="Arial"/>
          <w:sz w:val="24"/>
          <w:szCs w:val="24"/>
          <w:lang w:val="en-GB"/>
        </w:rPr>
        <w:t>]</w:t>
      </w:r>
      <w:r>
        <w:rPr>
          <w:rFonts w:ascii="Arial" w:eastAsiaTheme="minorHAnsi" w:hAnsi="Arial" w:cs="Arial"/>
          <w:sz w:val="24"/>
          <w:szCs w:val="24"/>
          <w:lang w:val="en-GB"/>
        </w:rPr>
        <w:tab/>
        <w:t>The affidavit of BIPA, deposed to on 11 June 2018, states at paragraph 7 that its purpose is two-fold, i.e. to seek an exclusion of interest, and to seek condonation for the late filing of its affidavit. At paragraph 85 the deponent states that she had</w:t>
      </w:r>
      <w:r w:rsidR="008A476C">
        <w:rPr>
          <w:rFonts w:ascii="Arial" w:eastAsiaTheme="minorHAnsi" w:hAnsi="Arial" w:cs="Arial"/>
          <w:sz w:val="24"/>
          <w:szCs w:val="24"/>
          <w:lang w:val="en-GB"/>
        </w:rPr>
        <w:t xml:space="preserve"> to consult certain M</w:t>
      </w:r>
      <w:r>
        <w:rPr>
          <w:rFonts w:ascii="Arial" w:eastAsiaTheme="minorHAnsi" w:hAnsi="Arial" w:cs="Arial"/>
          <w:sz w:val="24"/>
          <w:szCs w:val="24"/>
          <w:lang w:val="en-GB"/>
        </w:rPr>
        <w:t>in</w:t>
      </w:r>
      <w:r w:rsidR="008A476C">
        <w:rPr>
          <w:rFonts w:ascii="Arial" w:eastAsiaTheme="minorHAnsi" w:hAnsi="Arial" w:cs="Arial"/>
          <w:sz w:val="24"/>
          <w:szCs w:val="24"/>
          <w:lang w:val="en-GB"/>
        </w:rPr>
        <w:t>i</w:t>
      </w:r>
      <w:r>
        <w:rPr>
          <w:rFonts w:ascii="Arial" w:eastAsiaTheme="minorHAnsi" w:hAnsi="Arial" w:cs="Arial"/>
          <w:sz w:val="24"/>
          <w:szCs w:val="24"/>
          <w:lang w:val="en-GB"/>
        </w:rPr>
        <w:t xml:space="preserve">sters, and that such consultation only occurred on 31 May 2018. </w:t>
      </w:r>
      <w:r>
        <w:rPr>
          <w:rFonts w:ascii="Arial" w:eastAsiaTheme="minorHAnsi" w:hAnsi="Arial" w:cs="Arial"/>
          <w:sz w:val="24"/>
          <w:szCs w:val="24"/>
          <w:lang w:val="en-GB"/>
        </w:rPr>
        <w:lastRenderedPageBreak/>
        <w:t xml:space="preserve">Thereafter the affidavit had to be prepared and thus it was impossible to give the statutory notice prior to such consultation. </w:t>
      </w:r>
      <w:r w:rsidR="00961539">
        <w:rPr>
          <w:rFonts w:ascii="Arial" w:eastAsiaTheme="minorHAnsi" w:hAnsi="Arial" w:cs="Arial"/>
          <w:sz w:val="24"/>
          <w:szCs w:val="24"/>
          <w:lang w:val="en-GB"/>
        </w:rPr>
        <w:t>At paragraph 86 the deponent sought</w:t>
      </w:r>
      <w:r>
        <w:rPr>
          <w:rFonts w:ascii="Arial" w:eastAsiaTheme="minorHAnsi" w:hAnsi="Arial" w:cs="Arial"/>
          <w:sz w:val="24"/>
          <w:szCs w:val="24"/>
          <w:lang w:val="en-GB"/>
        </w:rPr>
        <w:t xml:space="preserve"> condonation for the late filing of the affidavit and </w:t>
      </w:r>
      <w:r w:rsidR="00961539">
        <w:rPr>
          <w:rFonts w:ascii="Arial" w:eastAsiaTheme="minorHAnsi" w:hAnsi="Arial" w:cs="Arial"/>
          <w:sz w:val="24"/>
          <w:szCs w:val="24"/>
          <w:lang w:val="en-GB"/>
        </w:rPr>
        <w:t xml:space="preserve">further </w:t>
      </w:r>
      <w:r>
        <w:rPr>
          <w:rFonts w:ascii="Arial" w:eastAsiaTheme="minorHAnsi" w:hAnsi="Arial" w:cs="Arial"/>
          <w:sz w:val="24"/>
          <w:szCs w:val="24"/>
          <w:lang w:val="en-GB"/>
        </w:rPr>
        <w:t xml:space="preserve">sought leave to </w:t>
      </w:r>
      <w:r w:rsidR="00F10A52">
        <w:rPr>
          <w:rFonts w:ascii="Arial" w:eastAsiaTheme="minorHAnsi" w:hAnsi="Arial" w:cs="Arial"/>
          <w:sz w:val="24"/>
          <w:szCs w:val="24"/>
          <w:lang w:val="en-GB"/>
        </w:rPr>
        <w:t>file</w:t>
      </w:r>
      <w:r w:rsidR="00961539">
        <w:rPr>
          <w:rFonts w:ascii="Arial" w:eastAsiaTheme="minorHAnsi" w:hAnsi="Arial" w:cs="Arial"/>
          <w:sz w:val="24"/>
          <w:szCs w:val="24"/>
          <w:lang w:val="en-GB"/>
        </w:rPr>
        <w:t xml:space="preserve"> a</w:t>
      </w:r>
      <w:r w:rsidR="00F10A52">
        <w:rPr>
          <w:rFonts w:ascii="Arial" w:eastAsiaTheme="minorHAnsi" w:hAnsi="Arial" w:cs="Arial"/>
          <w:sz w:val="24"/>
          <w:szCs w:val="24"/>
          <w:lang w:val="en-GB"/>
        </w:rPr>
        <w:t xml:space="preserve"> notice in terms of ss</w:t>
      </w:r>
      <w:r w:rsidR="00961539">
        <w:rPr>
          <w:rFonts w:ascii="Arial" w:eastAsiaTheme="minorHAnsi" w:hAnsi="Arial" w:cs="Arial"/>
          <w:sz w:val="24"/>
          <w:szCs w:val="24"/>
          <w:lang w:val="en-GB"/>
        </w:rPr>
        <w:t xml:space="preserve"> 52(3) and (4) of</w:t>
      </w:r>
      <w:r>
        <w:rPr>
          <w:rFonts w:ascii="Arial" w:eastAsiaTheme="minorHAnsi" w:hAnsi="Arial" w:cs="Arial"/>
          <w:sz w:val="24"/>
          <w:szCs w:val="24"/>
          <w:lang w:val="en-GB"/>
        </w:rPr>
        <w:t xml:space="preserve"> POCA. </w:t>
      </w:r>
    </w:p>
    <w:p w:rsidR="00515A28" w:rsidRDefault="00515A28" w:rsidP="00983D71">
      <w:pPr>
        <w:spacing w:after="0" w:line="360" w:lineRule="auto"/>
        <w:jc w:val="both"/>
        <w:rPr>
          <w:rFonts w:ascii="Arial" w:eastAsiaTheme="minorHAnsi" w:hAnsi="Arial" w:cs="Arial"/>
          <w:sz w:val="24"/>
          <w:szCs w:val="24"/>
          <w:lang w:val="en-GB"/>
        </w:rPr>
      </w:pPr>
    </w:p>
    <w:p w:rsidR="00983D71" w:rsidRDefault="00515A28" w:rsidP="00983D71">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[38</w:t>
      </w:r>
      <w:r w:rsidR="0014460A">
        <w:rPr>
          <w:rFonts w:ascii="Arial" w:eastAsiaTheme="minorHAnsi" w:hAnsi="Arial" w:cs="Arial"/>
          <w:sz w:val="24"/>
          <w:szCs w:val="24"/>
          <w:lang w:val="en-GB"/>
        </w:rPr>
        <w:t>]</w:t>
      </w:r>
      <w:r w:rsidR="0014460A">
        <w:rPr>
          <w:rFonts w:ascii="Arial" w:eastAsiaTheme="minorHAnsi" w:hAnsi="Arial" w:cs="Arial"/>
          <w:sz w:val="24"/>
          <w:szCs w:val="24"/>
          <w:lang w:val="en-GB"/>
        </w:rPr>
        <w:tab/>
        <w:t xml:space="preserve">The PG, </w:t>
      </w:r>
      <w:r w:rsidR="006D7D7B">
        <w:rPr>
          <w:rFonts w:ascii="Arial" w:eastAsiaTheme="minorHAnsi" w:hAnsi="Arial" w:cs="Arial"/>
          <w:sz w:val="24"/>
          <w:szCs w:val="24"/>
          <w:lang w:val="en-GB"/>
        </w:rPr>
        <w:t xml:space="preserve">in opposition to the BIPA </w:t>
      </w:r>
      <w:r w:rsidR="00D222E5">
        <w:rPr>
          <w:rFonts w:ascii="Arial" w:eastAsiaTheme="minorHAnsi" w:hAnsi="Arial" w:cs="Arial"/>
          <w:sz w:val="24"/>
          <w:szCs w:val="24"/>
          <w:lang w:val="en-GB"/>
        </w:rPr>
        <w:t>condonation</w:t>
      </w:r>
      <w:r w:rsidR="006F3309">
        <w:rPr>
          <w:rFonts w:ascii="Arial" w:eastAsiaTheme="minorHAnsi" w:hAnsi="Arial" w:cs="Arial"/>
          <w:sz w:val="24"/>
          <w:szCs w:val="24"/>
          <w:lang w:val="en-GB"/>
        </w:rPr>
        <w:t xml:space="preserve"> application</w:t>
      </w:r>
      <w:r w:rsidR="00D222E5">
        <w:rPr>
          <w:rFonts w:ascii="Arial" w:eastAsiaTheme="minorHAnsi" w:hAnsi="Arial" w:cs="Arial"/>
          <w:sz w:val="24"/>
          <w:szCs w:val="24"/>
          <w:lang w:val="en-GB"/>
        </w:rPr>
        <w:t>, filed a rule 66(1)</w:t>
      </w:r>
      <w:r w:rsidR="006D7D7B">
        <w:rPr>
          <w:rFonts w:ascii="Arial" w:eastAsiaTheme="minorHAnsi" w:hAnsi="Arial" w:cs="Arial"/>
          <w:sz w:val="24"/>
          <w:szCs w:val="24"/>
          <w:lang w:val="en-GB"/>
        </w:rPr>
        <w:t xml:space="preserve">(c) notice, </w:t>
      </w:r>
      <w:r w:rsidR="00D222E5">
        <w:rPr>
          <w:rFonts w:ascii="Arial" w:eastAsiaTheme="minorHAnsi" w:hAnsi="Arial" w:cs="Arial"/>
          <w:sz w:val="24"/>
          <w:szCs w:val="24"/>
          <w:lang w:val="en-GB"/>
        </w:rPr>
        <w:t xml:space="preserve">purporting to raise </w:t>
      </w:r>
      <w:r w:rsidR="006D7D7B">
        <w:rPr>
          <w:rFonts w:ascii="Arial" w:eastAsiaTheme="minorHAnsi" w:hAnsi="Arial" w:cs="Arial"/>
          <w:sz w:val="24"/>
          <w:szCs w:val="24"/>
          <w:lang w:val="en-GB"/>
        </w:rPr>
        <w:t>certain questions of law</w:t>
      </w:r>
      <w:r w:rsidR="00961539">
        <w:rPr>
          <w:rFonts w:ascii="Arial" w:eastAsiaTheme="minorHAnsi" w:hAnsi="Arial" w:cs="Arial"/>
          <w:sz w:val="24"/>
          <w:szCs w:val="24"/>
          <w:lang w:val="en-GB"/>
        </w:rPr>
        <w:t xml:space="preserve"> which she</w:t>
      </w:r>
      <w:r w:rsidR="006D7D7B">
        <w:rPr>
          <w:rFonts w:ascii="Arial" w:eastAsiaTheme="minorHAnsi" w:hAnsi="Arial" w:cs="Arial"/>
          <w:sz w:val="24"/>
          <w:szCs w:val="24"/>
          <w:lang w:val="en-GB"/>
        </w:rPr>
        <w:t xml:space="preserve"> maintains are dispositive of the condonation application. </w:t>
      </w:r>
      <w:r w:rsidR="00983D71">
        <w:rPr>
          <w:rFonts w:ascii="Arial" w:eastAsiaTheme="minorHAnsi" w:hAnsi="Arial" w:cs="Arial"/>
          <w:sz w:val="24"/>
          <w:szCs w:val="24"/>
          <w:lang w:val="en-GB"/>
        </w:rPr>
        <w:t>The question sought to be answered was whethe</w:t>
      </w:r>
      <w:r w:rsidR="00F10A52">
        <w:rPr>
          <w:rFonts w:ascii="Arial" w:eastAsiaTheme="minorHAnsi" w:hAnsi="Arial" w:cs="Arial"/>
          <w:sz w:val="24"/>
          <w:szCs w:val="24"/>
          <w:lang w:val="en-GB"/>
        </w:rPr>
        <w:t>r BIPA complied with the s</w:t>
      </w:r>
      <w:r w:rsidR="00983D71">
        <w:rPr>
          <w:rFonts w:ascii="Arial" w:eastAsiaTheme="minorHAnsi" w:hAnsi="Arial" w:cs="Arial"/>
          <w:sz w:val="24"/>
          <w:szCs w:val="24"/>
          <w:lang w:val="en-GB"/>
        </w:rPr>
        <w:t xml:space="preserve"> 60(1) of the POCA notice period within which to seek condonation. </w:t>
      </w:r>
    </w:p>
    <w:p w:rsidR="00983D71" w:rsidRDefault="00983D71" w:rsidP="00F323CD">
      <w:pPr>
        <w:spacing w:after="0" w:line="480" w:lineRule="auto"/>
        <w:jc w:val="both"/>
        <w:rPr>
          <w:rFonts w:ascii="Arial" w:eastAsiaTheme="minorHAnsi" w:hAnsi="Arial" w:cs="Arial"/>
          <w:sz w:val="24"/>
          <w:szCs w:val="24"/>
          <w:lang w:val="en-GB"/>
        </w:rPr>
      </w:pPr>
    </w:p>
    <w:p w:rsidR="0014460A" w:rsidRDefault="00515A28" w:rsidP="007464A1">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[39</w:t>
      </w:r>
      <w:r w:rsidR="00983D71">
        <w:rPr>
          <w:rFonts w:ascii="Arial" w:eastAsiaTheme="minorHAnsi" w:hAnsi="Arial" w:cs="Arial"/>
          <w:sz w:val="24"/>
          <w:szCs w:val="24"/>
          <w:lang w:val="en-GB"/>
        </w:rPr>
        <w:t>]</w:t>
      </w:r>
      <w:r w:rsidR="00983D71">
        <w:rPr>
          <w:rFonts w:ascii="Arial" w:eastAsiaTheme="minorHAnsi" w:hAnsi="Arial" w:cs="Arial"/>
          <w:sz w:val="24"/>
          <w:szCs w:val="24"/>
          <w:lang w:val="en-GB"/>
        </w:rPr>
        <w:tab/>
      </w:r>
      <w:r w:rsidR="00D222E5">
        <w:rPr>
          <w:rFonts w:ascii="Arial" w:eastAsiaTheme="minorHAnsi" w:hAnsi="Arial" w:cs="Arial"/>
          <w:sz w:val="24"/>
          <w:szCs w:val="24"/>
          <w:lang w:val="en-GB"/>
        </w:rPr>
        <w:t xml:space="preserve"> </w:t>
      </w:r>
      <w:r w:rsidR="00E13BAE">
        <w:rPr>
          <w:rFonts w:ascii="Arial" w:eastAsiaTheme="minorHAnsi" w:hAnsi="Arial" w:cs="Arial"/>
          <w:sz w:val="24"/>
          <w:szCs w:val="24"/>
          <w:lang w:val="en-GB"/>
        </w:rPr>
        <w:t>Ms Kuelder</w:t>
      </w:r>
      <w:r w:rsidR="00983D71">
        <w:rPr>
          <w:rFonts w:ascii="Arial" w:eastAsiaTheme="minorHAnsi" w:hAnsi="Arial" w:cs="Arial"/>
          <w:sz w:val="24"/>
          <w:szCs w:val="24"/>
          <w:lang w:val="en-GB"/>
        </w:rPr>
        <w:t xml:space="preserve"> con</w:t>
      </w:r>
      <w:r w:rsidR="00F10A52">
        <w:rPr>
          <w:rFonts w:ascii="Arial" w:eastAsiaTheme="minorHAnsi" w:hAnsi="Arial" w:cs="Arial"/>
          <w:sz w:val="24"/>
          <w:szCs w:val="24"/>
          <w:lang w:val="en-GB"/>
        </w:rPr>
        <w:t>tended with reference to s</w:t>
      </w:r>
      <w:r w:rsidR="00983D71">
        <w:rPr>
          <w:rFonts w:ascii="Arial" w:eastAsiaTheme="minorHAnsi" w:hAnsi="Arial" w:cs="Arial"/>
          <w:sz w:val="24"/>
          <w:szCs w:val="24"/>
          <w:lang w:val="en-GB"/>
        </w:rPr>
        <w:t xml:space="preserve"> 60(3) of the POCA </w:t>
      </w:r>
      <w:r w:rsidR="007464A1">
        <w:rPr>
          <w:rFonts w:ascii="Arial" w:eastAsiaTheme="minorHAnsi" w:hAnsi="Arial" w:cs="Arial"/>
          <w:sz w:val="24"/>
          <w:szCs w:val="24"/>
          <w:lang w:val="en-GB"/>
        </w:rPr>
        <w:t xml:space="preserve">that BIPA in </w:t>
      </w:r>
      <w:r w:rsidR="007A00E8">
        <w:rPr>
          <w:rFonts w:ascii="Arial" w:eastAsiaTheme="minorHAnsi" w:hAnsi="Arial" w:cs="Arial"/>
          <w:sz w:val="24"/>
          <w:szCs w:val="24"/>
          <w:lang w:val="en-GB"/>
        </w:rPr>
        <w:t xml:space="preserve">any event failed from 12 June – 03 October 2018 to advance any reasonable explanation for its failure to apply for relief. </w:t>
      </w:r>
      <w:r w:rsidR="00544493">
        <w:rPr>
          <w:rFonts w:ascii="Arial" w:eastAsiaTheme="minorHAnsi" w:hAnsi="Arial" w:cs="Arial"/>
          <w:sz w:val="24"/>
          <w:szCs w:val="24"/>
          <w:lang w:val="en-GB"/>
        </w:rPr>
        <w:t xml:space="preserve">Relying on the matter of </w:t>
      </w:r>
      <w:r w:rsidR="00544493">
        <w:rPr>
          <w:rFonts w:ascii="Arial" w:eastAsiaTheme="minorHAnsi" w:hAnsi="Arial" w:cs="Arial"/>
          <w:i/>
          <w:sz w:val="24"/>
          <w:szCs w:val="24"/>
          <w:lang w:val="en-GB"/>
        </w:rPr>
        <w:t>Shalulu v The Prosecutor - General</w:t>
      </w:r>
      <w:r w:rsidR="00544493">
        <w:rPr>
          <w:rStyle w:val="FootnoteReference"/>
          <w:rFonts w:ascii="Arial" w:eastAsiaTheme="minorHAnsi" w:hAnsi="Arial" w:cs="Arial"/>
          <w:i/>
          <w:sz w:val="24"/>
          <w:szCs w:val="24"/>
          <w:lang w:val="en-GB"/>
        </w:rPr>
        <w:footnoteReference w:id="4"/>
      </w:r>
      <w:r w:rsidR="007A00E8">
        <w:rPr>
          <w:rFonts w:ascii="Arial" w:eastAsiaTheme="minorHAnsi" w:hAnsi="Arial" w:cs="Arial"/>
          <w:sz w:val="24"/>
          <w:szCs w:val="24"/>
          <w:lang w:val="en-GB"/>
        </w:rPr>
        <w:t xml:space="preserve"> </w:t>
      </w:r>
      <w:r w:rsidR="00E13BAE">
        <w:rPr>
          <w:rFonts w:ascii="Arial" w:eastAsiaTheme="minorHAnsi" w:hAnsi="Arial" w:cs="Arial"/>
          <w:sz w:val="24"/>
          <w:szCs w:val="24"/>
          <w:lang w:val="en-GB"/>
        </w:rPr>
        <w:t xml:space="preserve">Ms Keulder </w:t>
      </w:r>
      <w:r w:rsidR="00544493">
        <w:rPr>
          <w:rFonts w:ascii="Arial" w:eastAsiaTheme="minorHAnsi" w:hAnsi="Arial" w:cs="Arial"/>
          <w:sz w:val="24"/>
          <w:szCs w:val="24"/>
          <w:lang w:val="en-GB"/>
        </w:rPr>
        <w:t>contended that the question raised by the PG ought to be answered in t</w:t>
      </w:r>
      <w:r w:rsidR="00313C40">
        <w:rPr>
          <w:rFonts w:ascii="Arial" w:eastAsiaTheme="minorHAnsi" w:hAnsi="Arial" w:cs="Arial"/>
          <w:sz w:val="24"/>
          <w:szCs w:val="24"/>
          <w:lang w:val="en-GB"/>
        </w:rPr>
        <w:t>he negative as the applicant</w:t>
      </w:r>
      <w:r w:rsidR="00544493">
        <w:rPr>
          <w:rFonts w:ascii="Arial" w:eastAsiaTheme="minorHAnsi" w:hAnsi="Arial" w:cs="Arial"/>
          <w:sz w:val="24"/>
          <w:szCs w:val="24"/>
          <w:lang w:val="en-GB"/>
        </w:rPr>
        <w:t xml:space="preserve"> failed to comply strictly </w:t>
      </w:r>
      <w:r w:rsidR="00F10A52">
        <w:rPr>
          <w:rFonts w:ascii="Arial" w:eastAsiaTheme="minorHAnsi" w:hAnsi="Arial" w:cs="Arial"/>
          <w:sz w:val="24"/>
          <w:szCs w:val="24"/>
          <w:lang w:val="en-GB"/>
        </w:rPr>
        <w:t>with the requirements of s</w:t>
      </w:r>
      <w:r w:rsidR="00313C40">
        <w:rPr>
          <w:rFonts w:ascii="Arial" w:eastAsiaTheme="minorHAnsi" w:hAnsi="Arial" w:cs="Arial"/>
          <w:sz w:val="24"/>
          <w:szCs w:val="24"/>
          <w:lang w:val="en-GB"/>
        </w:rPr>
        <w:t xml:space="preserve"> 60(1) of</w:t>
      </w:r>
      <w:r w:rsidR="00544493">
        <w:rPr>
          <w:rFonts w:ascii="Arial" w:eastAsiaTheme="minorHAnsi" w:hAnsi="Arial" w:cs="Arial"/>
          <w:sz w:val="24"/>
          <w:szCs w:val="24"/>
          <w:lang w:val="en-GB"/>
        </w:rPr>
        <w:t xml:space="preserve"> POCA. Mr. Kauta</w:t>
      </w:r>
      <w:r w:rsidR="00313C40">
        <w:rPr>
          <w:rFonts w:ascii="Arial" w:eastAsiaTheme="minorHAnsi" w:hAnsi="Arial" w:cs="Arial"/>
          <w:sz w:val="24"/>
          <w:szCs w:val="24"/>
          <w:lang w:val="en-GB"/>
        </w:rPr>
        <w:t>, for</w:t>
      </w:r>
      <w:r w:rsidR="00544493">
        <w:rPr>
          <w:rFonts w:ascii="Arial" w:eastAsiaTheme="minorHAnsi" w:hAnsi="Arial" w:cs="Arial"/>
          <w:sz w:val="24"/>
          <w:szCs w:val="24"/>
          <w:lang w:val="en-GB"/>
        </w:rPr>
        <w:t xml:space="preserve"> his part contended that the </w:t>
      </w:r>
      <w:r w:rsidR="00544493">
        <w:rPr>
          <w:rFonts w:ascii="Arial" w:eastAsiaTheme="minorHAnsi" w:hAnsi="Arial" w:cs="Arial"/>
          <w:i/>
          <w:sz w:val="24"/>
          <w:szCs w:val="24"/>
          <w:lang w:val="en-GB"/>
        </w:rPr>
        <w:t>Sha</w:t>
      </w:r>
      <w:r w:rsidR="00B3630E">
        <w:rPr>
          <w:rFonts w:ascii="Arial" w:eastAsiaTheme="minorHAnsi" w:hAnsi="Arial" w:cs="Arial"/>
          <w:i/>
          <w:sz w:val="24"/>
          <w:szCs w:val="24"/>
          <w:lang w:val="en-GB"/>
        </w:rPr>
        <w:t>u</w:t>
      </w:r>
      <w:r w:rsidR="00544493">
        <w:rPr>
          <w:rFonts w:ascii="Arial" w:eastAsiaTheme="minorHAnsi" w:hAnsi="Arial" w:cs="Arial"/>
          <w:i/>
          <w:sz w:val="24"/>
          <w:szCs w:val="24"/>
          <w:lang w:val="en-GB"/>
        </w:rPr>
        <w:t xml:space="preserve">lulu </w:t>
      </w:r>
      <w:r w:rsidR="00544493">
        <w:rPr>
          <w:rFonts w:ascii="Arial" w:eastAsiaTheme="minorHAnsi" w:hAnsi="Arial" w:cs="Arial"/>
          <w:sz w:val="24"/>
          <w:szCs w:val="24"/>
          <w:lang w:val="en-GB"/>
        </w:rPr>
        <w:t xml:space="preserve">matter is distinguishable on the facts, and is no authority for the proposition that this court may not rely on its inherent power to regulate its own procedure. </w:t>
      </w:r>
    </w:p>
    <w:p w:rsidR="00544493" w:rsidRDefault="00544493" w:rsidP="007464A1">
      <w:pPr>
        <w:spacing w:after="0" w:line="360" w:lineRule="auto"/>
        <w:jc w:val="both"/>
        <w:rPr>
          <w:rFonts w:ascii="Arial" w:eastAsiaTheme="minorHAnsi" w:hAnsi="Arial" w:cs="Arial"/>
          <w:sz w:val="24"/>
          <w:szCs w:val="24"/>
          <w:lang w:val="en-GB"/>
        </w:rPr>
      </w:pPr>
    </w:p>
    <w:p w:rsidR="00544493" w:rsidRPr="00313C40" w:rsidRDefault="00313C40" w:rsidP="007464A1">
      <w:pPr>
        <w:spacing w:after="0" w:line="360" w:lineRule="auto"/>
        <w:jc w:val="both"/>
        <w:rPr>
          <w:rFonts w:ascii="Arial" w:eastAsiaTheme="minorHAnsi" w:hAnsi="Arial" w:cs="Arial"/>
          <w:sz w:val="24"/>
          <w:szCs w:val="24"/>
          <w:lang w:val="en-GB"/>
        </w:rPr>
      </w:pPr>
      <w:r>
        <w:rPr>
          <w:rFonts w:ascii="Arial" w:eastAsiaTheme="minorHAnsi" w:hAnsi="Arial" w:cs="Arial"/>
          <w:sz w:val="24"/>
          <w:szCs w:val="24"/>
          <w:u w:val="single"/>
          <w:lang w:val="en-GB"/>
        </w:rPr>
        <w:t>Determination</w:t>
      </w:r>
    </w:p>
    <w:p w:rsidR="00544493" w:rsidRDefault="00544493" w:rsidP="007464A1">
      <w:pPr>
        <w:spacing w:after="0" w:line="360" w:lineRule="auto"/>
        <w:jc w:val="both"/>
        <w:rPr>
          <w:rFonts w:ascii="Arial" w:eastAsiaTheme="minorHAnsi" w:hAnsi="Arial" w:cs="Arial"/>
          <w:sz w:val="24"/>
          <w:szCs w:val="24"/>
          <w:lang w:val="en-GB"/>
        </w:rPr>
      </w:pPr>
    </w:p>
    <w:p w:rsidR="00850368" w:rsidRDefault="00515A28" w:rsidP="007464A1">
      <w:pPr>
        <w:spacing w:after="0" w:line="360" w:lineRule="auto"/>
        <w:jc w:val="both"/>
        <w:rPr>
          <w:rFonts w:ascii="Arial" w:eastAsiaTheme="minorHAnsi" w:hAnsi="Arial" w:cs="Arial"/>
          <w:sz w:val="24"/>
          <w:szCs w:val="24"/>
          <w:lang w:val="en-GB"/>
        </w:rPr>
      </w:pPr>
      <w:r>
        <w:rPr>
          <w:rFonts w:ascii="Arial" w:eastAsiaTheme="minorHAnsi" w:hAnsi="Arial" w:cs="Arial"/>
          <w:sz w:val="24"/>
          <w:szCs w:val="24"/>
          <w:lang w:val="en-GB"/>
        </w:rPr>
        <w:t>[40</w:t>
      </w:r>
      <w:r w:rsidR="00544493">
        <w:rPr>
          <w:rFonts w:ascii="Arial" w:eastAsiaTheme="minorHAnsi" w:hAnsi="Arial" w:cs="Arial"/>
          <w:sz w:val="24"/>
          <w:szCs w:val="24"/>
          <w:lang w:val="en-GB"/>
        </w:rPr>
        <w:t>]</w:t>
      </w:r>
      <w:r w:rsidR="00544493">
        <w:rPr>
          <w:rFonts w:ascii="Arial" w:eastAsiaTheme="minorHAnsi" w:hAnsi="Arial" w:cs="Arial"/>
          <w:sz w:val="24"/>
          <w:szCs w:val="24"/>
          <w:lang w:val="en-GB"/>
        </w:rPr>
        <w:tab/>
        <w:t xml:space="preserve">It is common cause that BIPA filed its statutory affidavit on 12 June 2018 wherein it sought both an exclusion of interest in the property subject to preservation and also condonation for its late filing of the affidavit. As such, it therein proceeded to seek leave to file the statutory notice of opposition. </w:t>
      </w:r>
      <w:r w:rsidR="00850368">
        <w:rPr>
          <w:rFonts w:ascii="Arial" w:eastAsiaTheme="minorHAnsi" w:hAnsi="Arial" w:cs="Arial"/>
          <w:sz w:val="24"/>
          <w:szCs w:val="24"/>
          <w:lang w:val="en-GB"/>
        </w:rPr>
        <w:t>It is furthermore not disputed that on 03 October 2018 BIPA filed a notice of motion s</w:t>
      </w:r>
      <w:r w:rsidR="00F10A52">
        <w:rPr>
          <w:rFonts w:ascii="Arial" w:eastAsiaTheme="minorHAnsi" w:hAnsi="Arial" w:cs="Arial"/>
          <w:sz w:val="24"/>
          <w:szCs w:val="24"/>
          <w:lang w:val="en-GB"/>
        </w:rPr>
        <w:t>eeking leave in terms of s</w:t>
      </w:r>
      <w:r w:rsidR="00850368">
        <w:rPr>
          <w:rFonts w:ascii="Arial" w:eastAsiaTheme="minorHAnsi" w:hAnsi="Arial" w:cs="Arial"/>
          <w:sz w:val="24"/>
          <w:szCs w:val="24"/>
          <w:lang w:val="en-GB"/>
        </w:rPr>
        <w:t xml:space="preserve"> 60(1) of the POCA to file its statutory notice. The issue</w:t>
      </w:r>
      <w:r w:rsidR="00313C40">
        <w:rPr>
          <w:rFonts w:ascii="Arial" w:eastAsiaTheme="minorHAnsi" w:hAnsi="Arial" w:cs="Arial"/>
          <w:sz w:val="24"/>
          <w:szCs w:val="24"/>
          <w:lang w:val="en-GB"/>
        </w:rPr>
        <w:t>s which confront this court are</w:t>
      </w:r>
      <w:r w:rsidR="00850368">
        <w:rPr>
          <w:rFonts w:ascii="Arial" w:eastAsiaTheme="minorHAnsi" w:hAnsi="Arial" w:cs="Arial"/>
          <w:sz w:val="24"/>
          <w:szCs w:val="24"/>
          <w:lang w:val="en-GB"/>
        </w:rPr>
        <w:t xml:space="preserve"> (a) whether there is an application properly serving for determination in th</w:t>
      </w:r>
      <w:r w:rsidR="00F10A52">
        <w:rPr>
          <w:rFonts w:ascii="Arial" w:eastAsiaTheme="minorHAnsi" w:hAnsi="Arial" w:cs="Arial"/>
          <w:sz w:val="24"/>
          <w:szCs w:val="24"/>
          <w:lang w:val="en-GB"/>
        </w:rPr>
        <w:t>e manner contemplated in s</w:t>
      </w:r>
      <w:r w:rsidR="00313C40">
        <w:rPr>
          <w:rFonts w:ascii="Arial" w:eastAsiaTheme="minorHAnsi" w:hAnsi="Arial" w:cs="Arial"/>
          <w:sz w:val="24"/>
          <w:szCs w:val="24"/>
          <w:lang w:val="en-GB"/>
        </w:rPr>
        <w:t xml:space="preserve"> 60(1) of the POCA? I</w:t>
      </w:r>
      <w:r w:rsidR="00850368">
        <w:rPr>
          <w:rFonts w:ascii="Arial" w:eastAsiaTheme="minorHAnsi" w:hAnsi="Arial" w:cs="Arial"/>
          <w:sz w:val="24"/>
          <w:szCs w:val="24"/>
          <w:lang w:val="en-GB"/>
        </w:rPr>
        <w:t xml:space="preserve">f </w:t>
      </w:r>
      <w:r w:rsidR="00313C40">
        <w:rPr>
          <w:rFonts w:ascii="Arial" w:eastAsiaTheme="minorHAnsi" w:hAnsi="Arial" w:cs="Arial"/>
          <w:sz w:val="24"/>
          <w:szCs w:val="24"/>
          <w:lang w:val="en-GB"/>
        </w:rPr>
        <w:t xml:space="preserve">(a) is </w:t>
      </w:r>
      <w:r w:rsidR="00850368">
        <w:rPr>
          <w:rFonts w:ascii="Arial" w:eastAsiaTheme="minorHAnsi" w:hAnsi="Arial" w:cs="Arial"/>
          <w:sz w:val="24"/>
          <w:szCs w:val="24"/>
          <w:lang w:val="en-GB"/>
        </w:rPr>
        <w:t>answered in the affirmative, (b) whether BIPA has satisfied the twin requirements of section 60(3)(a) and (b)</w:t>
      </w:r>
      <w:r w:rsidR="00313C40">
        <w:rPr>
          <w:rFonts w:ascii="Arial" w:eastAsiaTheme="minorHAnsi" w:hAnsi="Arial" w:cs="Arial"/>
          <w:sz w:val="24"/>
          <w:szCs w:val="24"/>
          <w:lang w:val="en-GB"/>
        </w:rPr>
        <w:t>?</w:t>
      </w:r>
      <w:r w:rsidR="00850368">
        <w:rPr>
          <w:rFonts w:ascii="Arial" w:eastAsiaTheme="minorHAnsi" w:hAnsi="Arial" w:cs="Arial"/>
          <w:sz w:val="24"/>
          <w:szCs w:val="24"/>
          <w:lang w:val="en-GB"/>
        </w:rPr>
        <w:t xml:space="preserve"> </w:t>
      </w:r>
    </w:p>
    <w:p w:rsidR="00850368" w:rsidRDefault="00850368" w:rsidP="007464A1">
      <w:pPr>
        <w:spacing w:after="0" w:line="360" w:lineRule="auto"/>
        <w:jc w:val="both"/>
        <w:rPr>
          <w:rFonts w:ascii="Arial" w:eastAsiaTheme="minorHAnsi" w:hAnsi="Arial" w:cs="Arial"/>
          <w:sz w:val="24"/>
          <w:szCs w:val="24"/>
          <w:lang w:val="en-GB"/>
        </w:rPr>
      </w:pPr>
    </w:p>
    <w:p w:rsidR="000047C4" w:rsidRDefault="00515A28" w:rsidP="000047C4">
      <w:pPr>
        <w:spacing w:before="240" w:after="240" w:line="360" w:lineRule="auto"/>
        <w:jc w:val="both"/>
        <w:rPr>
          <w:rFonts w:ascii="Arial" w:eastAsiaTheme="minorHAnsi" w:hAnsi="Arial" w:cs="Arial"/>
          <w:sz w:val="24"/>
          <w:szCs w:val="24"/>
          <w:lang w:val="en-GB"/>
        </w:rPr>
      </w:pPr>
      <w:r>
        <w:rPr>
          <w:rFonts w:ascii="Arial" w:eastAsiaTheme="minorHAnsi" w:hAnsi="Arial" w:cs="Arial"/>
          <w:sz w:val="24"/>
          <w:szCs w:val="24"/>
          <w:lang w:val="en-GB"/>
        </w:rPr>
        <w:lastRenderedPageBreak/>
        <w:t>[</w:t>
      </w:r>
      <w:r w:rsidR="00850368">
        <w:rPr>
          <w:rFonts w:ascii="Arial" w:eastAsiaTheme="minorHAnsi" w:hAnsi="Arial" w:cs="Arial"/>
          <w:sz w:val="24"/>
          <w:szCs w:val="24"/>
          <w:lang w:val="en-GB"/>
        </w:rPr>
        <w:t>4</w:t>
      </w:r>
      <w:r>
        <w:rPr>
          <w:rFonts w:ascii="Arial" w:eastAsiaTheme="minorHAnsi" w:hAnsi="Arial" w:cs="Arial"/>
          <w:sz w:val="24"/>
          <w:szCs w:val="24"/>
          <w:lang w:val="en-GB"/>
        </w:rPr>
        <w:t>1</w:t>
      </w:r>
      <w:r w:rsidR="00850368">
        <w:rPr>
          <w:rFonts w:ascii="Arial" w:eastAsiaTheme="minorHAnsi" w:hAnsi="Arial" w:cs="Arial"/>
          <w:sz w:val="24"/>
          <w:szCs w:val="24"/>
          <w:lang w:val="en-GB"/>
        </w:rPr>
        <w:t>]</w:t>
      </w:r>
      <w:r w:rsidR="00850368">
        <w:rPr>
          <w:rFonts w:ascii="Arial" w:eastAsiaTheme="minorHAnsi" w:hAnsi="Arial" w:cs="Arial"/>
          <w:sz w:val="24"/>
          <w:szCs w:val="24"/>
          <w:lang w:val="en-GB"/>
        </w:rPr>
        <w:tab/>
      </w:r>
      <w:r w:rsidR="000047C4">
        <w:rPr>
          <w:rFonts w:ascii="Arial" w:eastAsiaTheme="minorHAnsi" w:hAnsi="Arial" w:cs="Arial"/>
          <w:sz w:val="24"/>
          <w:szCs w:val="24"/>
          <w:lang w:val="en-GB"/>
        </w:rPr>
        <w:t>Section 60</w:t>
      </w:r>
      <w:r w:rsidR="00313C40">
        <w:rPr>
          <w:rFonts w:ascii="Arial" w:eastAsiaTheme="minorHAnsi" w:hAnsi="Arial" w:cs="Arial"/>
          <w:sz w:val="24"/>
          <w:szCs w:val="24"/>
          <w:lang w:val="en-GB"/>
        </w:rPr>
        <w:t xml:space="preserve"> of</w:t>
      </w:r>
      <w:r w:rsidR="000047C4">
        <w:rPr>
          <w:rFonts w:ascii="Arial" w:eastAsiaTheme="minorHAnsi" w:hAnsi="Arial" w:cs="Arial"/>
          <w:sz w:val="24"/>
          <w:szCs w:val="24"/>
          <w:lang w:val="en-GB"/>
        </w:rPr>
        <w:t xml:space="preserve"> POCA provides</w:t>
      </w:r>
      <w:r w:rsidR="00313C40">
        <w:rPr>
          <w:rFonts w:ascii="Arial" w:eastAsiaTheme="minorHAnsi" w:hAnsi="Arial" w:cs="Arial"/>
          <w:sz w:val="24"/>
          <w:szCs w:val="24"/>
          <w:lang w:val="en-GB"/>
        </w:rPr>
        <w:t xml:space="preserve"> the following</w:t>
      </w:r>
      <w:r w:rsidR="000047C4">
        <w:rPr>
          <w:rFonts w:ascii="Arial" w:eastAsiaTheme="minorHAnsi" w:hAnsi="Arial" w:cs="Arial"/>
          <w:sz w:val="24"/>
          <w:szCs w:val="24"/>
          <w:lang w:val="en-GB"/>
        </w:rPr>
        <w:t>:</w:t>
      </w:r>
    </w:p>
    <w:p w:rsidR="00D30B6E" w:rsidRPr="00D30B6E" w:rsidRDefault="00D30B6E" w:rsidP="00313C40">
      <w:pPr>
        <w:spacing w:after="0" w:line="360" w:lineRule="auto"/>
        <w:ind w:firstLine="720"/>
        <w:jc w:val="both"/>
        <w:rPr>
          <w:rFonts w:ascii="Arial" w:eastAsiaTheme="minorHAnsi" w:hAnsi="Arial" w:cs="Arial"/>
          <w:lang w:val="en-GB"/>
        </w:rPr>
      </w:pPr>
      <w:r w:rsidRPr="00D30B6E">
        <w:rPr>
          <w:rFonts w:ascii="Arial" w:eastAsiaTheme="minorHAnsi" w:hAnsi="Arial" w:cs="Arial"/>
          <w:lang w:val="en-GB"/>
        </w:rPr>
        <w:t xml:space="preserve">(1)  Any person who, for any reason, failed to give notice in terms of section 52(3), within the period specified in section 52(4) may, within 14 days of him or her becoming aware of the existence of a preservation of property order, apply to the High Court for condonation of that failure and leave to give a notice accompanied by the required information. </w:t>
      </w:r>
    </w:p>
    <w:p w:rsidR="00D30B6E" w:rsidRPr="00D30B6E" w:rsidRDefault="00D30B6E" w:rsidP="00D30B6E">
      <w:pPr>
        <w:spacing w:after="0" w:line="360" w:lineRule="auto"/>
        <w:ind w:left="720" w:firstLine="60"/>
        <w:jc w:val="both"/>
        <w:rPr>
          <w:rFonts w:ascii="Arial" w:eastAsiaTheme="minorHAnsi" w:hAnsi="Arial" w:cs="Arial"/>
          <w:lang w:val="en-GB"/>
        </w:rPr>
      </w:pPr>
      <w:r w:rsidRPr="00D30B6E">
        <w:rPr>
          <w:rFonts w:ascii="Arial" w:eastAsiaTheme="minorHAnsi" w:hAnsi="Arial" w:cs="Arial"/>
          <w:lang w:val="en-GB"/>
        </w:rPr>
        <w:t xml:space="preserve"> </w:t>
      </w:r>
    </w:p>
    <w:p w:rsidR="00D30B6E" w:rsidRPr="00D30B6E" w:rsidRDefault="00D30B6E" w:rsidP="00313C40">
      <w:pPr>
        <w:spacing w:after="0" w:line="360" w:lineRule="auto"/>
        <w:jc w:val="both"/>
        <w:rPr>
          <w:rFonts w:ascii="Arial" w:eastAsiaTheme="minorHAnsi" w:hAnsi="Arial" w:cs="Arial"/>
          <w:lang w:val="en-GB"/>
        </w:rPr>
      </w:pPr>
      <w:r w:rsidRPr="00D30B6E">
        <w:rPr>
          <w:rFonts w:ascii="Arial" w:eastAsiaTheme="minorHAnsi" w:hAnsi="Arial" w:cs="Arial"/>
          <w:lang w:val="en-GB"/>
        </w:rPr>
        <w:t xml:space="preserve">(2)  An application in terms of subsection (1) may be made before or after the date on which an application for a forfeiture order is made under section 59(1), but must be made before judgment is given in respect of the application for a forfeiture order. </w:t>
      </w:r>
    </w:p>
    <w:p w:rsidR="00D30B6E" w:rsidRPr="00D30B6E" w:rsidRDefault="00D30B6E" w:rsidP="00D30B6E">
      <w:pPr>
        <w:spacing w:after="0" w:line="360" w:lineRule="auto"/>
        <w:ind w:left="720" w:firstLine="60"/>
        <w:jc w:val="both"/>
        <w:rPr>
          <w:rFonts w:ascii="Arial" w:eastAsiaTheme="minorHAnsi" w:hAnsi="Arial" w:cs="Arial"/>
          <w:lang w:val="en-GB"/>
        </w:rPr>
      </w:pPr>
      <w:r w:rsidRPr="00D30B6E">
        <w:rPr>
          <w:rFonts w:ascii="Arial" w:eastAsiaTheme="minorHAnsi" w:hAnsi="Arial" w:cs="Arial"/>
          <w:lang w:val="en-GB"/>
        </w:rPr>
        <w:t xml:space="preserve"> </w:t>
      </w:r>
    </w:p>
    <w:p w:rsidR="00D30B6E" w:rsidRPr="00D30B6E" w:rsidRDefault="00D30B6E" w:rsidP="00313C40">
      <w:pPr>
        <w:spacing w:after="0" w:line="360" w:lineRule="auto"/>
        <w:jc w:val="both"/>
        <w:rPr>
          <w:rFonts w:ascii="Arial" w:eastAsiaTheme="minorHAnsi" w:hAnsi="Arial" w:cs="Arial"/>
          <w:lang w:val="en-GB"/>
        </w:rPr>
      </w:pPr>
      <w:r w:rsidRPr="00D30B6E">
        <w:rPr>
          <w:rFonts w:ascii="Arial" w:eastAsiaTheme="minorHAnsi" w:hAnsi="Arial" w:cs="Arial"/>
          <w:lang w:val="en-GB"/>
        </w:rPr>
        <w:t xml:space="preserve">(3)  The High Court may condone the failure and grant the leave as contemplated in subsection (1), if the court is satisfied on good cause shown that the applicant - </w:t>
      </w:r>
    </w:p>
    <w:p w:rsidR="00D30B6E" w:rsidRPr="00D30B6E" w:rsidRDefault="00D30B6E" w:rsidP="00D30B6E">
      <w:pPr>
        <w:spacing w:after="0" w:line="360" w:lineRule="auto"/>
        <w:ind w:left="720" w:firstLine="60"/>
        <w:jc w:val="both"/>
        <w:rPr>
          <w:rFonts w:ascii="Arial" w:eastAsiaTheme="minorHAnsi" w:hAnsi="Arial" w:cs="Arial"/>
          <w:lang w:val="en-GB"/>
        </w:rPr>
      </w:pPr>
      <w:r w:rsidRPr="00D30B6E">
        <w:rPr>
          <w:rFonts w:ascii="Arial" w:eastAsiaTheme="minorHAnsi" w:hAnsi="Arial" w:cs="Arial"/>
          <w:lang w:val="en-GB"/>
        </w:rPr>
        <w:t xml:space="preserve"> </w:t>
      </w:r>
    </w:p>
    <w:p w:rsidR="00D30B6E" w:rsidRPr="00D30B6E" w:rsidRDefault="00D30B6E" w:rsidP="00313C40">
      <w:pPr>
        <w:spacing w:after="0" w:line="360" w:lineRule="auto"/>
        <w:ind w:left="720"/>
        <w:jc w:val="both"/>
        <w:rPr>
          <w:rFonts w:ascii="Arial" w:eastAsiaTheme="minorHAnsi" w:hAnsi="Arial" w:cs="Arial"/>
          <w:lang w:val="en-GB"/>
        </w:rPr>
      </w:pPr>
      <w:r w:rsidRPr="00D30B6E">
        <w:rPr>
          <w:rFonts w:ascii="Arial" w:eastAsiaTheme="minorHAnsi" w:hAnsi="Arial" w:cs="Arial"/>
          <w:lang w:val="en-GB"/>
        </w:rPr>
        <w:t xml:space="preserve">(a) was unaware of the preservation of property order or that it was impossible for him or her to give notice in terms of section 52(3); and </w:t>
      </w:r>
    </w:p>
    <w:p w:rsidR="00D30B6E" w:rsidRPr="00D30B6E" w:rsidRDefault="00D30B6E" w:rsidP="00D30B6E">
      <w:pPr>
        <w:spacing w:after="0" w:line="360" w:lineRule="auto"/>
        <w:ind w:left="720" w:firstLine="60"/>
        <w:jc w:val="both"/>
        <w:rPr>
          <w:rFonts w:ascii="Arial" w:eastAsiaTheme="minorHAnsi" w:hAnsi="Arial" w:cs="Arial"/>
          <w:lang w:val="en-GB"/>
        </w:rPr>
      </w:pPr>
      <w:r w:rsidRPr="00D30B6E">
        <w:rPr>
          <w:rFonts w:ascii="Arial" w:eastAsiaTheme="minorHAnsi" w:hAnsi="Arial" w:cs="Arial"/>
          <w:lang w:val="en-GB"/>
        </w:rPr>
        <w:t xml:space="preserve"> </w:t>
      </w:r>
    </w:p>
    <w:p w:rsidR="00D30B6E" w:rsidRPr="00D30B6E" w:rsidRDefault="00D30B6E" w:rsidP="00D30B6E">
      <w:pPr>
        <w:spacing w:after="0" w:line="360" w:lineRule="auto"/>
        <w:ind w:left="720" w:firstLine="60"/>
        <w:jc w:val="both"/>
        <w:rPr>
          <w:rFonts w:ascii="Arial" w:eastAsiaTheme="minorHAnsi" w:hAnsi="Arial" w:cs="Arial"/>
          <w:lang w:val="en-GB"/>
        </w:rPr>
      </w:pPr>
      <w:r w:rsidRPr="00D30B6E">
        <w:rPr>
          <w:rFonts w:ascii="Arial" w:eastAsiaTheme="minorHAnsi" w:hAnsi="Arial" w:cs="Arial"/>
          <w:lang w:val="en-GB"/>
        </w:rPr>
        <w:t xml:space="preserve">(b) has an interest in the property which is subject to the preservation of property order. </w:t>
      </w:r>
    </w:p>
    <w:p w:rsidR="00D30B6E" w:rsidRPr="00D30B6E" w:rsidRDefault="00D30B6E" w:rsidP="00D30B6E">
      <w:pPr>
        <w:spacing w:after="0" w:line="360" w:lineRule="auto"/>
        <w:ind w:left="720" w:firstLine="60"/>
        <w:jc w:val="both"/>
        <w:rPr>
          <w:rFonts w:ascii="Arial" w:eastAsiaTheme="minorHAnsi" w:hAnsi="Arial" w:cs="Arial"/>
          <w:lang w:val="en-GB"/>
        </w:rPr>
      </w:pPr>
      <w:r w:rsidRPr="00D30B6E">
        <w:rPr>
          <w:rFonts w:ascii="Arial" w:eastAsiaTheme="minorHAnsi" w:hAnsi="Arial" w:cs="Arial"/>
          <w:lang w:val="en-GB"/>
        </w:rPr>
        <w:t xml:space="preserve"> </w:t>
      </w:r>
    </w:p>
    <w:p w:rsidR="00D30B6E" w:rsidRPr="00D30B6E" w:rsidRDefault="00D30B6E" w:rsidP="00313C40">
      <w:pPr>
        <w:spacing w:after="0" w:line="360" w:lineRule="auto"/>
        <w:jc w:val="both"/>
        <w:rPr>
          <w:rFonts w:ascii="Arial" w:eastAsiaTheme="minorHAnsi" w:hAnsi="Arial" w:cs="Arial"/>
          <w:lang w:val="en-GB"/>
        </w:rPr>
      </w:pPr>
      <w:r w:rsidRPr="00D30B6E">
        <w:rPr>
          <w:rFonts w:ascii="Arial" w:eastAsiaTheme="minorHAnsi" w:hAnsi="Arial" w:cs="Arial"/>
          <w:lang w:val="en-GB"/>
        </w:rPr>
        <w:t xml:space="preserve">(4)  When the High Court grants an applicant leave to give notice as referred to in subsection (3), the Court - </w:t>
      </w:r>
    </w:p>
    <w:p w:rsidR="00D30B6E" w:rsidRPr="00D30B6E" w:rsidRDefault="00D30B6E" w:rsidP="00D30B6E">
      <w:pPr>
        <w:spacing w:after="0" w:line="360" w:lineRule="auto"/>
        <w:ind w:left="720" w:firstLine="60"/>
        <w:jc w:val="both"/>
        <w:rPr>
          <w:rFonts w:ascii="Arial" w:eastAsiaTheme="minorHAnsi" w:hAnsi="Arial" w:cs="Arial"/>
          <w:lang w:val="en-GB"/>
        </w:rPr>
      </w:pPr>
      <w:r w:rsidRPr="00D30B6E">
        <w:rPr>
          <w:rFonts w:ascii="Arial" w:eastAsiaTheme="minorHAnsi" w:hAnsi="Arial" w:cs="Arial"/>
          <w:lang w:val="en-GB"/>
        </w:rPr>
        <w:t xml:space="preserve"> </w:t>
      </w:r>
    </w:p>
    <w:p w:rsidR="00D30B6E" w:rsidRPr="00D30B6E" w:rsidRDefault="00D30B6E" w:rsidP="00313C40">
      <w:pPr>
        <w:spacing w:after="0" w:line="360" w:lineRule="auto"/>
        <w:ind w:firstLine="720"/>
        <w:jc w:val="both"/>
        <w:rPr>
          <w:rFonts w:ascii="Arial" w:eastAsiaTheme="minorHAnsi" w:hAnsi="Arial" w:cs="Arial"/>
          <w:lang w:val="en-GB"/>
        </w:rPr>
      </w:pPr>
      <w:r w:rsidRPr="00D30B6E">
        <w:rPr>
          <w:rFonts w:ascii="Arial" w:eastAsiaTheme="minorHAnsi" w:hAnsi="Arial" w:cs="Arial"/>
          <w:lang w:val="en-GB"/>
        </w:rPr>
        <w:t xml:space="preserve">(a) must make an appropriate order as to costs against the applicant; and </w:t>
      </w:r>
    </w:p>
    <w:p w:rsidR="00D30B6E" w:rsidRPr="00D30B6E" w:rsidRDefault="00D30B6E" w:rsidP="00D30B6E">
      <w:pPr>
        <w:spacing w:after="0" w:line="360" w:lineRule="auto"/>
        <w:ind w:left="720" w:firstLine="60"/>
        <w:jc w:val="both"/>
        <w:rPr>
          <w:rFonts w:ascii="Arial" w:eastAsiaTheme="minorHAnsi" w:hAnsi="Arial" w:cs="Arial"/>
          <w:lang w:val="en-GB"/>
        </w:rPr>
      </w:pPr>
      <w:r w:rsidRPr="00D30B6E">
        <w:rPr>
          <w:rFonts w:ascii="Arial" w:eastAsiaTheme="minorHAnsi" w:hAnsi="Arial" w:cs="Arial"/>
          <w:lang w:val="en-GB"/>
        </w:rPr>
        <w:t xml:space="preserve"> </w:t>
      </w:r>
    </w:p>
    <w:p w:rsidR="000047C4" w:rsidRPr="00D30B6E" w:rsidRDefault="00D30B6E" w:rsidP="00D30B6E">
      <w:pPr>
        <w:spacing w:after="0" w:line="360" w:lineRule="auto"/>
        <w:ind w:left="720" w:firstLine="60"/>
        <w:jc w:val="both"/>
        <w:rPr>
          <w:rFonts w:ascii="Arial" w:eastAsiaTheme="minorHAnsi" w:hAnsi="Arial" w:cs="Arial"/>
          <w:lang w:val="en-GB"/>
        </w:rPr>
      </w:pPr>
      <w:r w:rsidRPr="00D30B6E">
        <w:rPr>
          <w:rFonts w:ascii="Arial" w:eastAsiaTheme="minorHAnsi" w:hAnsi="Arial" w:cs="Arial"/>
          <w:lang w:val="en-GB"/>
        </w:rPr>
        <w:t>(b) may make an appropriate order to regulate the further participation of the applicant in proceedings concerning an application for a forfeiture order.</w:t>
      </w:r>
    </w:p>
    <w:p w:rsidR="00D30B6E" w:rsidRPr="00D30B6E" w:rsidRDefault="00D30B6E" w:rsidP="00D30B6E">
      <w:pPr>
        <w:spacing w:after="0" w:line="360" w:lineRule="auto"/>
        <w:ind w:left="720" w:firstLine="60"/>
        <w:jc w:val="both"/>
        <w:rPr>
          <w:rFonts w:ascii="Arial" w:eastAsiaTheme="minorHAnsi" w:hAnsi="Arial" w:cs="Arial"/>
          <w:lang w:val="en-GB"/>
        </w:rPr>
      </w:pPr>
    </w:p>
    <w:p w:rsidR="00D30B6E" w:rsidRPr="00D30B6E" w:rsidRDefault="00D30B6E" w:rsidP="00313C40">
      <w:pPr>
        <w:spacing w:after="0" w:line="360" w:lineRule="auto"/>
        <w:jc w:val="both"/>
        <w:rPr>
          <w:rFonts w:ascii="Arial" w:eastAsiaTheme="minorHAnsi" w:hAnsi="Arial" w:cs="Arial"/>
          <w:lang w:val="en-GB"/>
        </w:rPr>
      </w:pPr>
      <w:r w:rsidRPr="00D30B6E">
        <w:rPr>
          <w:rFonts w:ascii="Arial" w:eastAsiaTheme="minorHAnsi" w:hAnsi="Arial" w:cs="Arial"/>
          <w:lang w:val="en-GB"/>
        </w:rPr>
        <w:t>(5)  A notice given after leave has been obtained under this section must contain full particulars of the chosen address of the person who gives the notice for the delivery of documents concerning further proceedings under this Chapter and must be accompanied by the affidavit referred to in section 52(5).</w:t>
      </w:r>
    </w:p>
    <w:p w:rsidR="00D30B6E" w:rsidRPr="000047C4" w:rsidRDefault="00D30B6E" w:rsidP="00D30B6E">
      <w:pPr>
        <w:spacing w:after="0" w:line="360" w:lineRule="auto"/>
        <w:ind w:left="720" w:firstLine="60"/>
        <w:jc w:val="both"/>
        <w:rPr>
          <w:rFonts w:ascii="Arial" w:eastAsiaTheme="minorHAnsi" w:hAnsi="Arial" w:cs="Arial"/>
          <w:i/>
          <w:lang w:val="en-GB"/>
        </w:rPr>
      </w:pPr>
    </w:p>
    <w:p w:rsidR="000047C4" w:rsidRDefault="00515A28" w:rsidP="00806DA5">
      <w:pPr>
        <w:spacing w:line="360" w:lineRule="auto"/>
        <w:jc w:val="both"/>
        <w:rPr>
          <w:rFonts w:ascii="Arial" w:hAnsi="Arial" w:cs="Arial"/>
          <w:sz w:val="24"/>
          <w:szCs w:val="24"/>
        </w:rPr>
      </w:pPr>
      <w:r>
        <w:rPr>
          <w:rFonts w:ascii="Arial" w:hAnsi="Arial" w:cs="Arial"/>
          <w:sz w:val="24"/>
          <w:szCs w:val="24"/>
        </w:rPr>
        <w:t>[42</w:t>
      </w:r>
      <w:r w:rsidR="000047C4">
        <w:rPr>
          <w:rFonts w:ascii="Arial" w:hAnsi="Arial" w:cs="Arial"/>
          <w:sz w:val="24"/>
          <w:szCs w:val="24"/>
        </w:rPr>
        <w:t>]</w:t>
      </w:r>
      <w:r w:rsidR="000047C4">
        <w:rPr>
          <w:rFonts w:ascii="Arial" w:hAnsi="Arial" w:cs="Arial"/>
          <w:sz w:val="24"/>
          <w:szCs w:val="24"/>
        </w:rPr>
        <w:tab/>
      </w:r>
      <w:r w:rsidR="00D30B6E">
        <w:rPr>
          <w:rFonts w:ascii="Arial" w:hAnsi="Arial" w:cs="Arial"/>
          <w:sz w:val="24"/>
          <w:szCs w:val="24"/>
        </w:rPr>
        <w:t xml:space="preserve">In its notice of motion filed on 3 October 2018 BIPA indicated that it sought leave to give statutory notice and </w:t>
      </w:r>
      <w:r w:rsidR="00B3630E">
        <w:rPr>
          <w:rFonts w:ascii="Arial" w:hAnsi="Arial" w:cs="Arial"/>
          <w:sz w:val="24"/>
          <w:szCs w:val="24"/>
        </w:rPr>
        <w:t xml:space="preserve">indicated </w:t>
      </w:r>
      <w:r w:rsidR="00D30B6E">
        <w:rPr>
          <w:rFonts w:ascii="Arial" w:hAnsi="Arial" w:cs="Arial"/>
          <w:sz w:val="24"/>
          <w:szCs w:val="24"/>
        </w:rPr>
        <w:t xml:space="preserve">that it relied on paragraphs 58 and 59 of the affidavit filed </w:t>
      </w:r>
      <w:r w:rsidR="00B3630E">
        <w:rPr>
          <w:rFonts w:ascii="Arial" w:hAnsi="Arial" w:cs="Arial"/>
          <w:sz w:val="24"/>
          <w:szCs w:val="24"/>
        </w:rPr>
        <w:t>of record</w:t>
      </w:r>
      <w:r w:rsidR="00D30B6E">
        <w:rPr>
          <w:rFonts w:ascii="Arial" w:hAnsi="Arial" w:cs="Arial"/>
          <w:sz w:val="24"/>
          <w:szCs w:val="24"/>
        </w:rPr>
        <w:t xml:space="preserve"> in support of such application for condonation. </w:t>
      </w:r>
      <w:r w:rsidR="00B3630E">
        <w:rPr>
          <w:rFonts w:ascii="Arial" w:hAnsi="Arial" w:cs="Arial"/>
          <w:sz w:val="24"/>
          <w:szCs w:val="24"/>
        </w:rPr>
        <w:t>I reject as unsustainable</w:t>
      </w:r>
      <w:r w:rsidR="005D67DC">
        <w:rPr>
          <w:rFonts w:ascii="Arial" w:hAnsi="Arial" w:cs="Arial"/>
          <w:sz w:val="24"/>
          <w:szCs w:val="24"/>
        </w:rPr>
        <w:t>, with deference,</w:t>
      </w:r>
      <w:r w:rsidR="00B3630E">
        <w:rPr>
          <w:rFonts w:ascii="Arial" w:hAnsi="Arial" w:cs="Arial"/>
          <w:sz w:val="24"/>
          <w:szCs w:val="24"/>
        </w:rPr>
        <w:t xml:space="preserve"> Mr. Kauta’s contention that the 12 June 2018 affidavit served the</w:t>
      </w:r>
      <w:r w:rsidR="00F10A52">
        <w:rPr>
          <w:rFonts w:ascii="Arial" w:hAnsi="Arial" w:cs="Arial"/>
          <w:sz w:val="24"/>
          <w:szCs w:val="24"/>
        </w:rPr>
        <w:t xml:space="preserve"> purpose contemplated in s</w:t>
      </w:r>
      <w:r w:rsidR="00B3630E">
        <w:rPr>
          <w:rFonts w:ascii="Arial" w:hAnsi="Arial" w:cs="Arial"/>
          <w:sz w:val="24"/>
          <w:szCs w:val="24"/>
        </w:rPr>
        <w:t xml:space="preserve"> 60(1) as BIPA ought to obtain leave to file such affidavit as</w:t>
      </w:r>
      <w:r w:rsidR="00F10A52">
        <w:rPr>
          <w:rFonts w:ascii="Arial" w:hAnsi="Arial" w:cs="Arial"/>
          <w:sz w:val="24"/>
          <w:szCs w:val="24"/>
        </w:rPr>
        <w:t xml:space="preserve"> clearly contemplated by s</w:t>
      </w:r>
      <w:r w:rsidR="00B3630E">
        <w:rPr>
          <w:rFonts w:ascii="Arial" w:hAnsi="Arial" w:cs="Arial"/>
          <w:sz w:val="24"/>
          <w:szCs w:val="24"/>
        </w:rPr>
        <w:t xml:space="preserve"> 60(1) read with 60(5) of the POCA.</w:t>
      </w:r>
      <w:r w:rsidR="00313C40">
        <w:rPr>
          <w:rFonts w:ascii="Arial" w:hAnsi="Arial" w:cs="Arial"/>
          <w:sz w:val="24"/>
          <w:szCs w:val="24"/>
        </w:rPr>
        <w:t xml:space="preserve"> S</w:t>
      </w:r>
      <w:r w:rsidR="00C93F1A">
        <w:rPr>
          <w:rFonts w:ascii="Arial" w:hAnsi="Arial" w:cs="Arial"/>
          <w:sz w:val="24"/>
          <w:szCs w:val="24"/>
        </w:rPr>
        <w:t xml:space="preserve"> 60(1) </w:t>
      </w:r>
      <w:r w:rsidR="00C93F1A">
        <w:rPr>
          <w:rFonts w:ascii="Arial" w:hAnsi="Arial" w:cs="Arial"/>
          <w:sz w:val="24"/>
          <w:szCs w:val="24"/>
        </w:rPr>
        <w:lastRenderedPageBreak/>
        <w:t xml:space="preserve">contemplates an application </w:t>
      </w:r>
      <w:r w:rsidR="00C93F1A" w:rsidRPr="00313C40">
        <w:rPr>
          <w:rFonts w:ascii="Arial" w:hAnsi="Arial" w:cs="Arial"/>
          <w:sz w:val="24"/>
          <w:szCs w:val="24"/>
        </w:rPr>
        <w:t>to court,</w:t>
      </w:r>
      <w:r w:rsidR="00C93F1A">
        <w:rPr>
          <w:rFonts w:ascii="Arial" w:hAnsi="Arial" w:cs="Arial"/>
          <w:sz w:val="24"/>
          <w:szCs w:val="24"/>
        </w:rPr>
        <w:t xml:space="preserve"> not a fleeting refer</w:t>
      </w:r>
      <w:r w:rsidR="00F10A52">
        <w:rPr>
          <w:rFonts w:ascii="Arial" w:hAnsi="Arial" w:cs="Arial"/>
          <w:sz w:val="24"/>
          <w:szCs w:val="24"/>
        </w:rPr>
        <w:t>ence to condonation in a s</w:t>
      </w:r>
      <w:r w:rsidR="00C93F1A">
        <w:rPr>
          <w:rFonts w:ascii="Arial" w:hAnsi="Arial" w:cs="Arial"/>
          <w:sz w:val="24"/>
          <w:szCs w:val="24"/>
        </w:rPr>
        <w:t xml:space="preserve"> 52(4)(a) POCA affidavit. </w:t>
      </w:r>
    </w:p>
    <w:p w:rsidR="00313C40" w:rsidRDefault="00313C40" w:rsidP="00806DA5">
      <w:pPr>
        <w:spacing w:line="360" w:lineRule="auto"/>
        <w:jc w:val="both"/>
        <w:rPr>
          <w:rFonts w:ascii="Arial" w:hAnsi="Arial" w:cs="Arial"/>
          <w:sz w:val="24"/>
          <w:szCs w:val="24"/>
        </w:rPr>
      </w:pPr>
    </w:p>
    <w:p w:rsidR="00B3630E" w:rsidRDefault="00515A28" w:rsidP="00806DA5">
      <w:pPr>
        <w:spacing w:line="360" w:lineRule="auto"/>
        <w:jc w:val="both"/>
        <w:rPr>
          <w:rFonts w:ascii="Arial" w:hAnsi="Arial" w:cs="Arial"/>
          <w:sz w:val="24"/>
          <w:szCs w:val="24"/>
        </w:rPr>
      </w:pPr>
      <w:r>
        <w:rPr>
          <w:rFonts w:ascii="Arial" w:hAnsi="Arial" w:cs="Arial"/>
          <w:sz w:val="24"/>
          <w:szCs w:val="24"/>
        </w:rPr>
        <w:t>[43</w:t>
      </w:r>
      <w:r w:rsidR="00B3630E">
        <w:rPr>
          <w:rFonts w:ascii="Arial" w:hAnsi="Arial" w:cs="Arial"/>
          <w:sz w:val="24"/>
          <w:szCs w:val="24"/>
        </w:rPr>
        <w:t>]</w:t>
      </w:r>
      <w:r w:rsidR="00B3630E">
        <w:rPr>
          <w:rFonts w:ascii="Arial" w:hAnsi="Arial" w:cs="Arial"/>
          <w:sz w:val="24"/>
          <w:szCs w:val="24"/>
        </w:rPr>
        <w:tab/>
        <w:t xml:space="preserve">The parties drew the court’s attention to the matter of </w:t>
      </w:r>
      <w:r w:rsidR="00B3630E">
        <w:rPr>
          <w:rFonts w:ascii="Arial" w:hAnsi="Arial" w:cs="Arial"/>
          <w:i/>
          <w:sz w:val="24"/>
          <w:szCs w:val="24"/>
        </w:rPr>
        <w:t xml:space="preserve">Shaululu </w:t>
      </w:r>
      <w:r w:rsidR="00B3630E">
        <w:rPr>
          <w:rFonts w:ascii="Arial" w:hAnsi="Arial" w:cs="Arial"/>
          <w:sz w:val="24"/>
          <w:szCs w:val="24"/>
        </w:rPr>
        <w:t>and I find, with respect, the reasoning therein both instructive and persuasive. Parker, AJ therein</w:t>
      </w:r>
      <w:r w:rsidR="00F0173B">
        <w:rPr>
          <w:rFonts w:ascii="Arial" w:hAnsi="Arial" w:cs="Arial"/>
          <w:sz w:val="24"/>
          <w:szCs w:val="24"/>
        </w:rPr>
        <w:t>, with</w:t>
      </w:r>
      <w:r w:rsidR="00F10A52">
        <w:rPr>
          <w:rFonts w:ascii="Arial" w:hAnsi="Arial" w:cs="Arial"/>
          <w:sz w:val="24"/>
          <w:szCs w:val="24"/>
        </w:rPr>
        <w:t xml:space="preserve"> reference to s</w:t>
      </w:r>
      <w:r w:rsidR="00F0173B">
        <w:rPr>
          <w:rFonts w:ascii="Arial" w:hAnsi="Arial" w:cs="Arial"/>
          <w:sz w:val="24"/>
          <w:szCs w:val="24"/>
        </w:rPr>
        <w:t xml:space="preserve"> 60(1) of the POCA,</w:t>
      </w:r>
      <w:r w:rsidR="00B3630E">
        <w:rPr>
          <w:rFonts w:ascii="Arial" w:hAnsi="Arial" w:cs="Arial"/>
          <w:sz w:val="24"/>
          <w:szCs w:val="24"/>
        </w:rPr>
        <w:t xml:space="preserve"> held:</w:t>
      </w:r>
    </w:p>
    <w:p w:rsidR="00B3630E" w:rsidRDefault="00313C40" w:rsidP="00313C40">
      <w:pPr>
        <w:spacing w:line="360" w:lineRule="auto"/>
        <w:ind w:firstLine="720"/>
        <w:jc w:val="both"/>
        <w:rPr>
          <w:rFonts w:ascii="Arial" w:hAnsi="Arial" w:cs="Arial"/>
        </w:rPr>
      </w:pPr>
      <w:r>
        <w:rPr>
          <w:rFonts w:ascii="Arial" w:hAnsi="Arial" w:cs="Arial"/>
        </w:rPr>
        <w:t>‘</w:t>
      </w:r>
      <w:r w:rsidR="00F0173B">
        <w:rPr>
          <w:rFonts w:ascii="Arial" w:hAnsi="Arial" w:cs="Arial"/>
        </w:rPr>
        <w:t xml:space="preserve">[17] … But – it must be stressed – the enjoyment of this statutory largesse is subject to a time limit. In terms of s 60(1) the interested person who had failed to give notice in compliance with s 52 must launch his or her application for condonation of that failure and leave to give a notice accompanied by the required information. Having sought and found the intention of the Legislature clearly expressed in the words of the statutory provision and the purpose of POCA, as set out in the long title of POCA, I hold that the provisions on the time limits are peremptory. See </w:t>
      </w:r>
      <w:r w:rsidR="00F0173B">
        <w:rPr>
          <w:rFonts w:ascii="Arial" w:hAnsi="Arial" w:cs="Arial"/>
          <w:i/>
        </w:rPr>
        <w:t xml:space="preserve">Compania Romana de Pescuit (SA) v Rosteve Fishing </w:t>
      </w:r>
      <w:r w:rsidR="00F0173B">
        <w:rPr>
          <w:rFonts w:ascii="Arial" w:hAnsi="Arial" w:cs="Arial"/>
        </w:rPr>
        <w:t xml:space="preserve">2002 NR 297 at 301H-I. The court is, therefore, not entitled to disregard or extend those time limits. </w:t>
      </w:r>
    </w:p>
    <w:p w:rsidR="00515A28" w:rsidRDefault="00515A28" w:rsidP="00F0173B">
      <w:pPr>
        <w:spacing w:line="360" w:lineRule="auto"/>
        <w:jc w:val="both"/>
        <w:rPr>
          <w:rFonts w:ascii="Arial" w:hAnsi="Arial" w:cs="Arial"/>
          <w:sz w:val="24"/>
          <w:szCs w:val="24"/>
        </w:rPr>
      </w:pPr>
    </w:p>
    <w:p w:rsidR="00F0173B" w:rsidRDefault="00515A28" w:rsidP="00F0173B">
      <w:pPr>
        <w:spacing w:line="360" w:lineRule="auto"/>
        <w:jc w:val="both"/>
        <w:rPr>
          <w:rFonts w:ascii="Arial" w:hAnsi="Arial" w:cs="Arial"/>
          <w:sz w:val="24"/>
          <w:szCs w:val="24"/>
        </w:rPr>
      </w:pPr>
      <w:r>
        <w:rPr>
          <w:rFonts w:ascii="Arial" w:hAnsi="Arial" w:cs="Arial"/>
          <w:sz w:val="24"/>
          <w:szCs w:val="24"/>
        </w:rPr>
        <w:t>[44</w:t>
      </w:r>
      <w:r w:rsidR="00F0173B" w:rsidRPr="005D67DC">
        <w:rPr>
          <w:rFonts w:ascii="Arial" w:hAnsi="Arial" w:cs="Arial"/>
          <w:sz w:val="24"/>
          <w:szCs w:val="24"/>
        </w:rPr>
        <w:t>]</w:t>
      </w:r>
      <w:r w:rsidR="00F0173B" w:rsidRPr="005D67DC">
        <w:rPr>
          <w:rFonts w:ascii="Arial" w:hAnsi="Arial" w:cs="Arial"/>
          <w:sz w:val="24"/>
          <w:szCs w:val="24"/>
        </w:rPr>
        <w:tab/>
      </w:r>
      <w:r w:rsidR="005D67DC">
        <w:rPr>
          <w:rFonts w:ascii="Arial" w:hAnsi="Arial" w:cs="Arial"/>
          <w:sz w:val="24"/>
          <w:szCs w:val="24"/>
        </w:rPr>
        <w:t>I accordingly find that the BIPA condonation application filed on 03 October 2018 was out of time</w:t>
      </w:r>
      <w:r w:rsidR="00F10A52">
        <w:rPr>
          <w:rFonts w:ascii="Arial" w:hAnsi="Arial" w:cs="Arial"/>
          <w:sz w:val="24"/>
          <w:szCs w:val="24"/>
        </w:rPr>
        <w:t xml:space="preserve"> and in contravention of s</w:t>
      </w:r>
      <w:r w:rsidR="005D67DC">
        <w:rPr>
          <w:rFonts w:ascii="Arial" w:hAnsi="Arial" w:cs="Arial"/>
          <w:sz w:val="24"/>
          <w:szCs w:val="24"/>
        </w:rPr>
        <w:t xml:space="preserve"> 60(1), thus not entitling the court to nonetheless rely on its inherent powers to regulate its own procedure and determine the condonation application. It follows that the question raised by the PG must be answered in the negative. In the re</w:t>
      </w:r>
      <w:r w:rsidR="00C56294">
        <w:rPr>
          <w:rFonts w:ascii="Arial" w:hAnsi="Arial" w:cs="Arial"/>
          <w:sz w:val="24"/>
          <w:szCs w:val="24"/>
        </w:rPr>
        <w:t xml:space="preserve">sult, it becomes inappropriate to consider the second issue raised.  </w:t>
      </w:r>
    </w:p>
    <w:p w:rsidR="00313C40" w:rsidRDefault="00313C40" w:rsidP="00F0173B">
      <w:pPr>
        <w:spacing w:line="360" w:lineRule="auto"/>
        <w:jc w:val="both"/>
        <w:rPr>
          <w:rFonts w:ascii="Arial" w:hAnsi="Arial" w:cs="Arial"/>
          <w:sz w:val="24"/>
          <w:szCs w:val="24"/>
        </w:rPr>
      </w:pPr>
    </w:p>
    <w:p w:rsidR="003D2589" w:rsidRDefault="00515A28" w:rsidP="00F0173B">
      <w:pPr>
        <w:spacing w:line="360" w:lineRule="auto"/>
        <w:jc w:val="both"/>
        <w:rPr>
          <w:rFonts w:ascii="Arial" w:hAnsi="Arial" w:cs="Arial"/>
          <w:sz w:val="24"/>
          <w:szCs w:val="24"/>
        </w:rPr>
      </w:pPr>
      <w:r>
        <w:rPr>
          <w:rFonts w:ascii="Arial" w:hAnsi="Arial" w:cs="Arial"/>
          <w:sz w:val="24"/>
          <w:szCs w:val="24"/>
        </w:rPr>
        <w:t>[45</w:t>
      </w:r>
      <w:r w:rsidR="005D67DC">
        <w:rPr>
          <w:rFonts w:ascii="Arial" w:hAnsi="Arial" w:cs="Arial"/>
          <w:sz w:val="24"/>
          <w:szCs w:val="24"/>
        </w:rPr>
        <w:t>]</w:t>
      </w:r>
      <w:r w:rsidR="005D67DC">
        <w:rPr>
          <w:rFonts w:ascii="Arial" w:hAnsi="Arial" w:cs="Arial"/>
          <w:sz w:val="24"/>
          <w:szCs w:val="24"/>
        </w:rPr>
        <w:tab/>
        <w:t>In the premise</w:t>
      </w:r>
      <w:r w:rsidR="00313C40">
        <w:rPr>
          <w:rFonts w:ascii="Arial" w:hAnsi="Arial" w:cs="Arial"/>
          <w:sz w:val="24"/>
          <w:szCs w:val="24"/>
        </w:rPr>
        <w:t>s</w:t>
      </w:r>
      <w:r w:rsidR="005D67DC">
        <w:rPr>
          <w:rFonts w:ascii="Arial" w:hAnsi="Arial" w:cs="Arial"/>
          <w:sz w:val="24"/>
          <w:szCs w:val="24"/>
        </w:rPr>
        <w:t xml:space="preserve">, and on the basis of the </w:t>
      </w:r>
      <w:r w:rsidR="003D2589">
        <w:rPr>
          <w:rFonts w:ascii="Arial" w:hAnsi="Arial" w:cs="Arial"/>
          <w:sz w:val="24"/>
          <w:szCs w:val="24"/>
        </w:rPr>
        <w:t>foregoing</w:t>
      </w:r>
      <w:r w:rsidR="005D67DC">
        <w:rPr>
          <w:rFonts w:ascii="Arial" w:hAnsi="Arial" w:cs="Arial"/>
          <w:sz w:val="24"/>
          <w:szCs w:val="24"/>
        </w:rPr>
        <w:t xml:space="preserve"> reasoning, I find that the applicant’s condon</w:t>
      </w:r>
      <w:r w:rsidR="003D2589">
        <w:rPr>
          <w:rFonts w:ascii="Arial" w:hAnsi="Arial" w:cs="Arial"/>
          <w:sz w:val="24"/>
          <w:szCs w:val="24"/>
        </w:rPr>
        <w:t xml:space="preserve">ation application falls outside </w:t>
      </w:r>
      <w:r w:rsidR="005D67DC">
        <w:rPr>
          <w:rFonts w:ascii="Arial" w:hAnsi="Arial" w:cs="Arial"/>
          <w:sz w:val="24"/>
          <w:szCs w:val="24"/>
        </w:rPr>
        <w:t xml:space="preserve">the </w:t>
      </w:r>
      <w:r w:rsidR="003D2589">
        <w:rPr>
          <w:rFonts w:ascii="Arial" w:hAnsi="Arial" w:cs="Arial"/>
          <w:sz w:val="24"/>
          <w:szCs w:val="24"/>
        </w:rPr>
        <w:t>time period</w:t>
      </w:r>
      <w:r w:rsidR="005D67DC">
        <w:rPr>
          <w:rFonts w:ascii="Arial" w:hAnsi="Arial" w:cs="Arial"/>
          <w:sz w:val="24"/>
          <w:szCs w:val="24"/>
        </w:rPr>
        <w:t xml:space="preserve"> </w:t>
      </w:r>
      <w:r w:rsidR="003D2589">
        <w:rPr>
          <w:rFonts w:ascii="Arial" w:hAnsi="Arial" w:cs="Arial"/>
          <w:sz w:val="24"/>
          <w:szCs w:val="24"/>
        </w:rPr>
        <w:t>provided for in</w:t>
      </w:r>
      <w:r w:rsidR="00F10A52">
        <w:rPr>
          <w:rFonts w:ascii="Arial" w:hAnsi="Arial" w:cs="Arial"/>
          <w:sz w:val="24"/>
          <w:szCs w:val="24"/>
        </w:rPr>
        <w:t xml:space="preserve">           s</w:t>
      </w:r>
      <w:r w:rsidR="005D67DC">
        <w:rPr>
          <w:rFonts w:ascii="Arial" w:hAnsi="Arial" w:cs="Arial"/>
          <w:sz w:val="24"/>
          <w:szCs w:val="24"/>
        </w:rPr>
        <w:t xml:space="preserve"> 60(1) </w:t>
      </w:r>
      <w:r w:rsidR="003D2589">
        <w:rPr>
          <w:rFonts w:ascii="Arial" w:hAnsi="Arial" w:cs="Arial"/>
          <w:sz w:val="24"/>
          <w:szCs w:val="24"/>
        </w:rPr>
        <w:t xml:space="preserve">of the POCA, </w:t>
      </w:r>
      <w:r w:rsidR="005D67DC">
        <w:rPr>
          <w:rFonts w:ascii="Arial" w:hAnsi="Arial" w:cs="Arial"/>
          <w:sz w:val="24"/>
          <w:szCs w:val="24"/>
        </w:rPr>
        <w:t>and</w:t>
      </w:r>
      <w:r w:rsidR="00C56294">
        <w:rPr>
          <w:rFonts w:ascii="Arial" w:hAnsi="Arial" w:cs="Arial"/>
          <w:sz w:val="24"/>
          <w:szCs w:val="24"/>
        </w:rPr>
        <w:t xml:space="preserve"> stands to be dismissed for that reason. </w:t>
      </w:r>
      <w:r w:rsidR="00313C40">
        <w:rPr>
          <w:rFonts w:ascii="Arial" w:hAnsi="Arial" w:cs="Arial"/>
          <w:sz w:val="24"/>
          <w:szCs w:val="24"/>
        </w:rPr>
        <w:t>The court’s hands are tied and it may not, in the circumstances, come to BIPA’s rescue.</w:t>
      </w:r>
    </w:p>
    <w:p w:rsidR="00313C40" w:rsidRDefault="00313C40" w:rsidP="00F0173B">
      <w:pPr>
        <w:spacing w:line="360" w:lineRule="auto"/>
        <w:jc w:val="both"/>
        <w:rPr>
          <w:rFonts w:ascii="Arial" w:hAnsi="Arial" w:cs="Arial"/>
          <w:sz w:val="24"/>
          <w:szCs w:val="24"/>
        </w:rPr>
      </w:pPr>
    </w:p>
    <w:p w:rsidR="005D67DC" w:rsidRDefault="003D2589" w:rsidP="00F0173B">
      <w:pPr>
        <w:spacing w:line="360" w:lineRule="auto"/>
        <w:jc w:val="both"/>
        <w:rPr>
          <w:rFonts w:ascii="Arial" w:hAnsi="Arial" w:cs="Arial"/>
          <w:sz w:val="24"/>
          <w:szCs w:val="24"/>
          <w:u w:val="single"/>
        </w:rPr>
      </w:pPr>
      <w:r w:rsidRPr="00313C40">
        <w:rPr>
          <w:rFonts w:ascii="Arial" w:hAnsi="Arial" w:cs="Arial"/>
          <w:sz w:val="24"/>
          <w:szCs w:val="24"/>
          <w:u w:val="single"/>
        </w:rPr>
        <w:t>Costs</w:t>
      </w:r>
      <w:r w:rsidR="00C93F1A" w:rsidRPr="00313C40">
        <w:rPr>
          <w:rFonts w:ascii="Arial" w:hAnsi="Arial" w:cs="Arial"/>
          <w:sz w:val="24"/>
          <w:szCs w:val="24"/>
          <w:u w:val="single"/>
        </w:rPr>
        <w:t xml:space="preserve"> </w:t>
      </w:r>
    </w:p>
    <w:p w:rsidR="00313C40" w:rsidRPr="00313C40" w:rsidRDefault="00313C40" w:rsidP="00F0173B">
      <w:pPr>
        <w:spacing w:line="360" w:lineRule="auto"/>
        <w:jc w:val="both"/>
        <w:rPr>
          <w:rFonts w:ascii="Arial" w:hAnsi="Arial" w:cs="Arial"/>
          <w:sz w:val="24"/>
          <w:szCs w:val="24"/>
          <w:u w:val="single"/>
        </w:rPr>
      </w:pPr>
    </w:p>
    <w:p w:rsidR="00E55FE2" w:rsidRPr="00E55FE2" w:rsidRDefault="00515A28" w:rsidP="00806DA5">
      <w:pPr>
        <w:spacing w:line="360" w:lineRule="auto"/>
        <w:jc w:val="both"/>
        <w:rPr>
          <w:rFonts w:ascii="Arial" w:hAnsi="Arial" w:cs="Arial"/>
          <w:i/>
          <w:sz w:val="24"/>
          <w:szCs w:val="24"/>
        </w:rPr>
      </w:pPr>
      <w:r>
        <w:rPr>
          <w:rFonts w:ascii="Arial" w:hAnsi="Arial" w:cs="Arial"/>
          <w:sz w:val="24"/>
          <w:szCs w:val="24"/>
        </w:rPr>
        <w:t>[46</w:t>
      </w:r>
      <w:r w:rsidR="003D2589">
        <w:rPr>
          <w:rFonts w:ascii="Arial" w:hAnsi="Arial" w:cs="Arial"/>
          <w:sz w:val="24"/>
          <w:szCs w:val="24"/>
        </w:rPr>
        <w:t>]</w:t>
      </w:r>
      <w:r w:rsidR="003D2589">
        <w:rPr>
          <w:rFonts w:ascii="Arial" w:hAnsi="Arial" w:cs="Arial"/>
          <w:sz w:val="24"/>
          <w:szCs w:val="24"/>
        </w:rPr>
        <w:tab/>
        <w:t xml:space="preserve">Both parties sought costs of the application and opposition thereto. The opposition of the PG was limited to a question of law as she was entitled to do in terms </w:t>
      </w:r>
      <w:r w:rsidR="003D2589">
        <w:rPr>
          <w:rFonts w:ascii="Arial" w:hAnsi="Arial" w:cs="Arial"/>
          <w:sz w:val="24"/>
          <w:szCs w:val="24"/>
        </w:rPr>
        <w:lastRenderedPageBreak/>
        <w:t>of rule 66(1)(c). No reason was advanced as to why costs should not follow the result. In the exercise of my discretion I direct that BIPA shall be liable for the cost</w:t>
      </w:r>
      <w:r w:rsidR="00313C40">
        <w:rPr>
          <w:rFonts w:ascii="Arial" w:hAnsi="Arial" w:cs="Arial"/>
          <w:sz w:val="24"/>
          <w:szCs w:val="24"/>
        </w:rPr>
        <w:t>s</w:t>
      </w:r>
      <w:r w:rsidR="003D2589">
        <w:rPr>
          <w:rFonts w:ascii="Arial" w:hAnsi="Arial" w:cs="Arial"/>
          <w:sz w:val="24"/>
          <w:szCs w:val="24"/>
        </w:rPr>
        <w:t xml:space="preserve"> of the PG’s opposition, limited in the manner contemplated in rule 32(11)</w:t>
      </w:r>
      <w:r w:rsidR="00313C40">
        <w:rPr>
          <w:rFonts w:ascii="Arial" w:hAnsi="Arial" w:cs="Arial"/>
          <w:sz w:val="24"/>
          <w:szCs w:val="24"/>
        </w:rPr>
        <w:t>, the application clearly being interlocutory in nature</w:t>
      </w:r>
      <w:r w:rsidR="003D2589">
        <w:rPr>
          <w:rFonts w:ascii="Arial" w:hAnsi="Arial" w:cs="Arial"/>
          <w:sz w:val="24"/>
          <w:szCs w:val="24"/>
        </w:rPr>
        <w:t xml:space="preserve">. </w:t>
      </w:r>
      <w:r w:rsidR="00E55FE2">
        <w:rPr>
          <w:rFonts w:ascii="Arial" w:hAnsi="Arial" w:cs="Arial"/>
          <w:sz w:val="24"/>
          <w:szCs w:val="24"/>
        </w:rPr>
        <w:tab/>
      </w:r>
    </w:p>
    <w:p w:rsidR="007E252E" w:rsidRDefault="007E252E" w:rsidP="00FB6332">
      <w:pPr>
        <w:spacing w:line="360" w:lineRule="auto"/>
        <w:jc w:val="both"/>
        <w:rPr>
          <w:rFonts w:ascii="Arial" w:hAnsi="Arial" w:cs="Arial"/>
          <w:sz w:val="24"/>
          <w:szCs w:val="24"/>
        </w:rPr>
      </w:pPr>
    </w:p>
    <w:p w:rsidR="00313C40" w:rsidRDefault="00313C40" w:rsidP="00FB6332">
      <w:pPr>
        <w:spacing w:line="360" w:lineRule="auto"/>
        <w:jc w:val="both"/>
        <w:rPr>
          <w:rFonts w:ascii="Arial" w:hAnsi="Arial" w:cs="Arial"/>
          <w:sz w:val="24"/>
          <w:szCs w:val="24"/>
          <w:u w:val="single"/>
        </w:rPr>
      </w:pPr>
      <w:r>
        <w:rPr>
          <w:rFonts w:ascii="Arial" w:hAnsi="Arial" w:cs="Arial"/>
          <w:sz w:val="24"/>
          <w:szCs w:val="24"/>
          <w:u w:val="single"/>
        </w:rPr>
        <w:t>Conclusion</w:t>
      </w:r>
    </w:p>
    <w:p w:rsidR="00313C40" w:rsidRDefault="00313C40" w:rsidP="00FB6332">
      <w:pPr>
        <w:spacing w:line="360" w:lineRule="auto"/>
        <w:jc w:val="both"/>
        <w:rPr>
          <w:rFonts w:ascii="Arial" w:hAnsi="Arial" w:cs="Arial"/>
          <w:sz w:val="24"/>
          <w:szCs w:val="24"/>
          <w:u w:val="single"/>
        </w:rPr>
      </w:pPr>
    </w:p>
    <w:p w:rsidR="00313C40" w:rsidRDefault="00515A28" w:rsidP="00FB6332">
      <w:pPr>
        <w:spacing w:line="360" w:lineRule="auto"/>
        <w:jc w:val="both"/>
        <w:rPr>
          <w:rFonts w:ascii="Arial" w:hAnsi="Arial" w:cs="Arial"/>
          <w:sz w:val="24"/>
          <w:szCs w:val="24"/>
        </w:rPr>
      </w:pPr>
      <w:r>
        <w:rPr>
          <w:rFonts w:ascii="Arial" w:hAnsi="Arial" w:cs="Arial"/>
          <w:sz w:val="24"/>
          <w:szCs w:val="24"/>
        </w:rPr>
        <w:t>[47</w:t>
      </w:r>
      <w:r w:rsidR="00313C40">
        <w:rPr>
          <w:rFonts w:ascii="Arial" w:hAnsi="Arial" w:cs="Arial"/>
          <w:sz w:val="24"/>
          <w:szCs w:val="24"/>
        </w:rPr>
        <w:t>]</w:t>
      </w:r>
      <w:r w:rsidR="00313C40">
        <w:rPr>
          <w:rFonts w:ascii="Arial" w:hAnsi="Arial" w:cs="Arial"/>
          <w:sz w:val="24"/>
          <w:szCs w:val="24"/>
        </w:rPr>
        <w:tab/>
        <w:t>In the circumstances, I have found that the application in terms of rule 61 launched by the applicants should fail. I have equally found that the application for condonation filed by the second respondent BIPA should fail</w:t>
      </w:r>
      <w:r>
        <w:rPr>
          <w:rFonts w:ascii="Arial" w:hAnsi="Arial" w:cs="Arial"/>
          <w:sz w:val="24"/>
          <w:szCs w:val="24"/>
        </w:rPr>
        <w:t>. In the circumstances, it would appear that the PG has been the successful party on both scores.</w:t>
      </w:r>
    </w:p>
    <w:p w:rsidR="00515A28" w:rsidRDefault="00515A28" w:rsidP="00FB6332">
      <w:pPr>
        <w:spacing w:line="360" w:lineRule="auto"/>
        <w:jc w:val="both"/>
        <w:rPr>
          <w:rFonts w:ascii="Arial" w:hAnsi="Arial" w:cs="Arial"/>
          <w:sz w:val="24"/>
          <w:szCs w:val="24"/>
        </w:rPr>
      </w:pPr>
    </w:p>
    <w:p w:rsidR="00515A28" w:rsidRDefault="00515A28" w:rsidP="00FB6332">
      <w:pPr>
        <w:spacing w:line="360" w:lineRule="auto"/>
        <w:jc w:val="both"/>
        <w:rPr>
          <w:rFonts w:ascii="Arial" w:hAnsi="Arial" w:cs="Arial"/>
          <w:sz w:val="24"/>
          <w:szCs w:val="24"/>
          <w:u w:val="single"/>
        </w:rPr>
      </w:pPr>
      <w:r>
        <w:rPr>
          <w:rFonts w:ascii="Arial" w:hAnsi="Arial" w:cs="Arial"/>
          <w:sz w:val="24"/>
          <w:szCs w:val="24"/>
          <w:u w:val="single"/>
        </w:rPr>
        <w:t>Order</w:t>
      </w:r>
    </w:p>
    <w:p w:rsidR="00515A28" w:rsidRDefault="00515A28" w:rsidP="00FB6332">
      <w:pPr>
        <w:spacing w:line="360" w:lineRule="auto"/>
        <w:jc w:val="both"/>
        <w:rPr>
          <w:rFonts w:ascii="Arial" w:hAnsi="Arial" w:cs="Arial"/>
          <w:sz w:val="24"/>
          <w:szCs w:val="24"/>
          <w:u w:val="single"/>
        </w:rPr>
      </w:pPr>
    </w:p>
    <w:p w:rsidR="00E13BAE" w:rsidRPr="00006083" w:rsidRDefault="00515A28" w:rsidP="00E13BAE">
      <w:pPr>
        <w:spacing w:after="0" w:line="360" w:lineRule="auto"/>
        <w:jc w:val="both"/>
        <w:rPr>
          <w:rFonts w:ascii="Arial" w:hAnsi="Arial" w:cs="Arial"/>
          <w:sz w:val="24"/>
          <w:szCs w:val="24"/>
        </w:rPr>
      </w:pPr>
      <w:r>
        <w:rPr>
          <w:rFonts w:ascii="Arial" w:hAnsi="Arial" w:cs="Arial"/>
          <w:sz w:val="24"/>
          <w:szCs w:val="24"/>
        </w:rPr>
        <w:t>[48]</w:t>
      </w:r>
      <w:r>
        <w:rPr>
          <w:rFonts w:ascii="Arial" w:hAnsi="Arial" w:cs="Arial"/>
          <w:sz w:val="24"/>
          <w:szCs w:val="24"/>
        </w:rPr>
        <w:tab/>
        <w:t>Having regard to the foregoing, I am of the view that the following order is condign:</w:t>
      </w:r>
      <w:r w:rsidR="00E13BAE" w:rsidRPr="00E13BAE">
        <w:rPr>
          <w:rFonts w:ascii="Arial" w:hAnsi="Arial" w:cs="Arial"/>
          <w:sz w:val="24"/>
          <w:szCs w:val="24"/>
        </w:rPr>
        <w:t xml:space="preserve"> </w:t>
      </w:r>
    </w:p>
    <w:p w:rsidR="00E13BAE" w:rsidRDefault="00E13BAE" w:rsidP="00E13BAE">
      <w:pPr>
        <w:pStyle w:val="ListParagraph"/>
        <w:numPr>
          <w:ilvl w:val="0"/>
          <w:numId w:val="7"/>
        </w:numPr>
        <w:spacing w:after="0" w:line="360" w:lineRule="auto"/>
        <w:jc w:val="both"/>
        <w:rPr>
          <w:rFonts w:ascii="Arial" w:hAnsi="Arial" w:cs="Arial"/>
          <w:sz w:val="24"/>
          <w:szCs w:val="24"/>
        </w:rPr>
      </w:pPr>
      <w:r>
        <w:rPr>
          <w:rFonts w:ascii="Arial" w:hAnsi="Arial" w:cs="Arial"/>
          <w:sz w:val="24"/>
          <w:szCs w:val="24"/>
        </w:rPr>
        <w:t>The Applicants’ Rule 61 application is refused.</w:t>
      </w:r>
    </w:p>
    <w:p w:rsidR="00E13BAE" w:rsidRDefault="00E13BAE" w:rsidP="00E13BAE">
      <w:pPr>
        <w:pStyle w:val="ListParagraph"/>
        <w:numPr>
          <w:ilvl w:val="0"/>
          <w:numId w:val="7"/>
        </w:numPr>
        <w:spacing w:after="0" w:line="360" w:lineRule="auto"/>
        <w:jc w:val="both"/>
        <w:rPr>
          <w:rFonts w:ascii="Arial" w:hAnsi="Arial" w:cs="Arial"/>
          <w:sz w:val="24"/>
          <w:szCs w:val="24"/>
        </w:rPr>
      </w:pPr>
      <w:r>
        <w:rPr>
          <w:rFonts w:ascii="Arial" w:hAnsi="Arial" w:cs="Arial"/>
          <w:sz w:val="24"/>
          <w:szCs w:val="24"/>
        </w:rPr>
        <w:t>The Applicants are ordered to pay the first respondent’s costs, not limited by rule 32(11), jointly and severally, the one paying the other to be absolved, including the costs of one instructing and one instructed counsel.</w:t>
      </w:r>
    </w:p>
    <w:p w:rsidR="00E13BAE" w:rsidRDefault="00E13BAE" w:rsidP="00E13BAE">
      <w:pPr>
        <w:pStyle w:val="ListParagraph"/>
        <w:numPr>
          <w:ilvl w:val="0"/>
          <w:numId w:val="7"/>
        </w:numPr>
        <w:spacing w:after="0" w:line="360" w:lineRule="auto"/>
        <w:jc w:val="both"/>
        <w:rPr>
          <w:rFonts w:ascii="Arial" w:hAnsi="Arial" w:cs="Arial"/>
          <w:sz w:val="24"/>
          <w:szCs w:val="24"/>
        </w:rPr>
      </w:pPr>
      <w:r>
        <w:rPr>
          <w:rFonts w:ascii="Arial" w:hAnsi="Arial" w:cs="Arial"/>
          <w:sz w:val="24"/>
          <w:szCs w:val="24"/>
        </w:rPr>
        <w:t>The Second Respondent’s application for condonation is refused.</w:t>
      </w:r>
    </w:p>
    <w:p w:rsidR="00E13BAE" w:rsidRDefault="00E13BAE" w:rsidP="00E13BAE">
      <w:pPr>
        <w:pStyle w:val="ListParagraph"/>
        <w:numPr>
          <w:ilvl w:val="0"/>
          <w:numId w:val="7"/>
        </w:numPr>
        <w:spacing w:after="0" w:line="360" w:lineRule="auto"/>
        <w:jc w:val="both"/>
        <w:rPr>
          <w:rFonts w:ascii="Arial" w:hAnsi="Arial" w:cs="Arial"/>
          <w:sz w:val="24"/>
          <w:szCs w:val="24"/>
        </w:rPr>
      </w:pPr>
      <w:r>
        <w:rPr>
          <w:rFonts w:ascii="Arial" w:hAnsi="Arial" w:cs="Arial"/>
          <w:sz w:val="24"/>
          <w:szCs w:val="24"/>
        </w:rPr>
        <w:t>The Second Respondent is ordered to pay the first respondent’s costs, limited by Rule 32(11).</w:t>
      </w:r>
    </w:p>
    <w:p w:rsidR="00E13BAE" w:rsidRPr="0088070B" w:rsidRDefault="00E13BAE" w:rsidP="00E13BAE">
      <w:pPr>
        <w:pStyle w:val="ListParagraph"/>
        <w:numPr>
          <w:ilvl w:val="0"/>
          <w:numId w:val="7"/>
        </w:numPr>
        <w:spacing w:after="0" w:line="360" w:lineRule="auto"/>
        <w:jc w:val="both"/>
        <w:rPr>
          <w:rFonts w:ascii="Arial" w:hAnsi="Arial" w:cs="Arial"/>
          <w:sz w:val="24"/>
          <w:szCs w:val="24"/>
        </w:rPr>
      </w:pPr>
      <w:r>
        <w:rPr>
          <w:rFonts w:ascii="Arial" w:hAnsi="Arial" w:cs="Arial"/>
          <w:sz w:val="24"/>
          <w:szCs w:val="24"/>
        </w:rPr>
        <w:t xml:space="preserve">The matter is postponed to 15 August 2019 at 08:30 for a status hearing to regulate the further conduct of the matter. </w:t>
      </w:r>
    </w:p>
    <w:p w:rsidR="00515A28" w:rsidRDefault="00515A28" w:rsidP="00E13BAE">
      <w:pPr>
        <w:spacing w:line="360" w:lineRule="auto"/>
        <w:jc w:val="right"/>
        <w:rPr>
          <w:rFonts w:ascii="Arial" w:hAnsi="Arial" w:cs="Arial"/>
          <w:sz w:val="24"/>
          <w:szCs w:val="24"/>
        </w:rPr>
      </w:pPr>
    </w:p>
    <w:p w:rsidR="00E13BAE" w:rsidRDefault="00761373" w:rsidP="00761373">
      <w:pPr>
        <w:spacing w:after="0" w:line="360" w:lineRule="auto"/>
        <w:jc w:val="right"/>
        <w:rPr>
          <w:rFonts w:ascii="Arial" w:hAnsi="Arial" w:cs="Arial"/>
          <w:sz w:val="24"/>
          <w:szCs w:val="24"/>
        </w:rPr>
      </w:pPr>
      <w:r>
        <w:rPr>
          <w:rFonts w:ascii="Arial" w:hAnsi="Arial" w:cs="Arial"/>
          <w:sz w:val="24"/>
          <w:szCs w:val="24"/>
        </w:rPr>
        <w:t>____________</w:t>
      </w:r>
    </w:p>
    <w:p w:rsidR="00E13BAE" w:rsidRDefault="00E13BAE" w:rsidP="00761373">
      <w:pPr>
        <w:spacing w:after="0" w:line="360" w:lineRule="auto"/>
        <w:jc w:val="right"/>
        <w:rPr>
          <w:rFonts w:ascii="Arial" w:hAnsi="Arial" w:cs="Arial"/>
          <w:sz w:val="24"/>
          <w:szCs w:val="24"/>
        </w:rPr>
      </w:pPr>
      <w:r>
        <w:rPr>
          <w:rFonts w:ascii="Arial" w:hAnsi="Arial" w:cs="Arial"/>
          <w:sz w:val="24"/>
          <w:szCs w:val="24"/>
        </w:rPr>
        <w:t>T.S Masuku</w:t>
      </w:r>
    </w:p>
    <w:p w:rsidR="00E13BAE" w:rsidRDefault="00E13BAE" w:rsidP="00761373">
      <w:pPr>
        <w:spacing w:after="0" w:line="360" w:lineRule="auto"/>
        <w:jc w:val="right"/>
        <w:rPr>
          <w:rFonts w:ascii="Arial" w:hAnsi="Arial" w:cs="Arial"/>
          <w:sz w:val="24"/>
          <w:szCs w:val="24"/>
        </w:rPr>
      </w:pPr>
      <w:r>
        <w:rPr>
          <w:rFonts w:ascii="Arial" w:hAnsi="Arial" w:cs="Arial"/>
          <w:sz w:val="24"/>
          <w:szCs w:val="24"/>
        </w:rPr>
        <w:t>Judge</w:t>
      </w: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F4169C" w:rsidRDefault="00F4169C" w:rsidP="00E13BAE">
      <w:pPr>
        <w:spacing w:line="360" w:lineRule="auto"/>
        <w:jc w:val="right"/>
        <w:rPr>
          <w:rFonts w:ascii="Arial" w:hAnsi="Arial" w:cs="Arial"/>
          <w:sz w:val="24"/>
          <w:szCs w:val="24"/>
        </w:rPr>
      </w:pPr>
    </w:p>
    <w:p w:rsidR="00F4169C" w:rsidRDefault="00F4169C" w:rsidP="00E13BAE">
      <w:pPr>
        <w:spacing w:line="360" w:lineRule="auto"/>
        <w:jc w:val="right"/>
        <w:rPr>
          <w:rFonts w:ascii="Arial" w:hAnsi="Arial" w:cs="Arial"/>
          <w:sz w:val="24"/>
          <w:szCs w:val="24"/>
        </w:rPr>
      </w:pPr>
    </w:p>
    <w:p w:rsidR="00F4169C" w:rsidRDefault="00F4169C" w:rsidP="00E13BAE">
      <w:pPr>
        <w:spacing w:line="360" w:lineRule="auto"/>
        <w:jc w:val="right"/>
        <w:rPr>
          <w:rFonts w:ascii="Arial" w:hAnsi="Arial" w:cs="Arial"/>
          <w:sz w:val="24"/>
          <w:szCs w:val="24"/>
        </w:rPr>
      </w:pPr>
    </w:p>
    <w:p w:rsidR="00F4169C" w:rsidRDefault="00F4169C" w:rsidP="00E13BAE">
      <w:pPr>
        <w:spacing w:line="360" w:lineRule="auto"/>
        <w:jc w:val="right"/>
        <w:rPr>
          <w:rFonts w:ascii="Arial" w:hAnsi="Arial" w:cs="Arial"/>
          <w:sz w:val="24"/>
          <w:szCs w:val="24"/>
        </w:rPr>
      </w:pPr>
    </w:p>
    <w:p w:rsidR="00E13BAE" w:rsidRDefault="00E13BAE" w:rsidP="00E13BAE">
      <w:pPr>
        <w:spacing w:line="360" w:lineRule="auto"/>
        <w:jc w:val="right"/>
        <w:rPr>
          <w:rFonts w:ascii="Arial" w:hAnsi="Arial" w:cs="Arial"/>
          <w:sz w:val="24"/>
          <w:szCs w:val="24"/>
        </w:rPr>
      </w:pPr>
    </w:p>
    <w:p w:rsidR="00E13BAE" w:rsidRDefault="00E13BAE" w:rsidP="00E13BAE">
      <w:pPr>
        <w:spacing w:line="360" w:lineRule="auto"/>
        <w:rPr>
          <w:rFonts w:ascii="Arial" w:hAnsi="Arial" w:cs="Arial"/>
          <w:sz w:val="24"/>
          <w:szCs w:val="24"/>
        </w:rPr>
      </w:pPr>
      <w:r>
        <w:rPr>
          <w:rFonts w:ascii="Arial" w:hAnsi="Arial" w:cs="Arial"/>
          <w:sz w:val="24"/>
          <w:szCs w:val="24"/>
        </w:rPr>
        <w:t>APPEARANCES:</w:t>
      </w:r>
    </w:p>
    <w:p w:rsidR="00E13BAE" w:rsidRDefault="00E13BAE" w:rsidP="00E13BAE">
      <w:pPr>
        <w:spacing w:line="360" w:lineRule="auto"/>
        <w:rPr>
          <w:rFonts w:ascii="Arial" w:hAnsi="Arial" w:cs="Arial"/>
          <w:sz w:val="24"/>
          <w:szCs w:val="24"/>
        </w:rPr>
      </w:pPr>
    </w:p>
    <w:p w:rsidR="00E13BAE" w:rsidRDefault="00E13BAE" w:rsidP="00E13BAE">
      <w:pPr>
        <w:spacing w:line="360" w:lineRule="auto"/>
        <w:rPr>
          <w:rFonts w:ascii="Arial" w:hAnsi="Arial" w:cs="Arial"/>
          <w:sz w:val="24"/>
          <w:szCs w:val="24"/>
        </w:rPr>
      </w:pPr>
      <w:r>
        <w:rPr>
          <w:rFonts w:ascii="Arial" w:hAnsi="Arial" w:cs="Arial"/>
          <w:sz w:val="24"/>
          <w:szCs w:val="24"/>
        </w:rPr>
        <w:t>APPLICANTS:</w:t>
      </w:r>
      <w:r>
        <w:rPr>
          <w:rFonts w:ascii="Arial" w:hAnsi="Arial" w:cs="Arial"/>
          <w:sz w:val="24"/>
          <w:szCs w:val="24"/>
        </w:rPr>
        <w:tab/>
      </w:r>
      <w:r>
        <w:rPr>
          <w:rFonts w:ascii="Arial" w:hAnsi="Arial" w:cs="Arial"/>
          <w:sz w:val="24"/>
          <w:szCs w:val="24"/>
        </w:rPr>
        <w:tab/>
        <w:t>Mr. Heathcote</w:t>
      </w:r>
      <w:r w:rsidR="00F4169C">
        <w:rPr>
          <w:rFonts w:ascii="Arial" w:hAnsi="Arial" w:cs="Arial"/>
          <w:sz w:val="24"/>
          <w:szCs w:val="24"/>
        </w:rPr>
        <w:t xml:space="preserve"> (With him Mr. Jacobs)</w:t>
      </w:r>
    </w:p>
    <w:p w:rsidR="00E13BAE" w:rsidRDefault="00E13BAE" w:rsidP="00E13BAE">
      <w:pPr>
        <w:spacing w:line="360" w:lineRule="auto"/>
        <w:rPr>
          <w:rFonts w:ascii="Arial" w:hAnsi="Arial" w:cs="Arial"/>
          <w:sz w:val="24"/>
          <w:szCs w:val="24"/>
        </w:rPr>
      </w:pPr>
      <w:r>
        <w:rPr>
          <w:rFonts w:ascii="Arial" w:hAnsi="Arial" w:cs="Arial"/>
          <w:sz w:val="24"/>
          <w:szCs w:val="24"/>
        </w:rPr>
        <w:t>Instructed by:</w:t>
      </w:r>
      <w:r w:rsidR="00F4169C">
        <w:rPr>
          <w:rFonts w:ascii="Arial" w:hAnsi="Arial" w:cs="Arial"/>
          <w:sz w:val="24"/>
          <w:szCs w:val="24"/>
        </w:rPr>
        <w:tab/>
      </w:r>
      <w:r w:rsidR="00F4169C">
        <w:rPr>
          <w:rFonts w:ascii="Arial" w:hAnsi="Arial" w:cs="Arial"/>
          <w:sz w:val="24"/>
          <w:szCs w:val="24"/>
        </w:rPr>
        <w:tab/>
        <w:t>Van der Merwe, Greef, Andima, Windhoek.</w:t>
      </w:r>
    </w:p>
    <w:p w:rsidR="00587DDC" w:rsidRDefault="00587DDC" w:rsidP="00E13BAE">
      <w:pPr>
        <w:spacing w:line="360" w:lineRule="auto"/>
        <w:rPr>
          <w:rFonts w:ascii="Arial" w:hAnsi="Arial" w:cs="Arial"/>
          <w:sz w:val="24"/>
          <w:szCs w:val="24"/>
        </w:rPr>
      </w:pPr>
    </w:p>
    <w:p w:rsidR="00E13BAE" w:rsidRDefault="00587DDC" w:rsidP="00E13BAE">
      <w:pPr>
        <w:spacing w:line="360" w:lineRule="auto"/>
        <w:rPr>
          <w:rFonts w:ascii="Arial" w:hAnsi="Arial" w:cs="Arial"/>
          <w:sz w:val="24"/>
          <w:szCs w:val="24"/>
        </w:rPr>
      </w:pPr>
      <w:r>
        <w:rPr>
          <w:rFonts w:ascii="Arial" w:hAnsi="Arial" w:cs="Arial"/>
          <w:sz w:val="24"/>
          <w:szCs w:val="24"/>
        </w:rPr>
        <w:t>1</w:t>
      </w:r>
      <w:r w:rsidRPr="00587DDC">
        <w:rPr>
          <w:rFonts w:ascii="Arial" w:hAnsi="Arial" w:cs="Arial"/>
          <w:sz w:val="24"/>
          <w:szCs w:val="24"/>
          <w:vertAlign w:val="superscript"/>
        </w:rPr>
        <w:t>ST</w:t>
      </w:r>
      <w:r>
        <w:rPr>
          <w:rFonts w:ascii="Arial" w:hAnsi="Arial" w:cs="Arial"/>
          <w:sz w:val="24"/>
          <w:szCs w:val="24"/>
        </w:rPr>
        <w:t xml:space="preserve"> RESPONDENT</w:t>
      </w:r>
      <w:r w:rsidR="00E13BAE">
        <w:rPr>
          <w:rFonts w:ascii="Arial" w:hAnsi="Arial" w:cs="Arial"/>
          <w:sz w:val="24"/>
          <w:szCs w:val="24"/>
        </w:rPr>
        <w:t>:</w:t>
      </w:r>
      <w:r w:rsidR="00E13BAE">
        <w:rPr>
          <w:rFonts w:ascii="Arial" w:hAnsi="Arial" w:cs="Arial"/>
          <w:sz w:val="24"/>
          <w:szCs w:val="24"/>
        </w:rPr>
        <w:tab/>
      </w:r>
      <w:r w:rsidR="00E13BAE">
        <w:rPr>
          <w:rFonts w:ascii="Arial" w:hAnsi="Arial" w:cs="Arial"/>
          <w:sz w:val="24"/>
          <w:szCs w:val="24"/>
        </w:rPr>
        <w:tab/>
        <w:t>Mr. Boonzaaier</w:t>
      </w:r>
      <w:r w:rsidR="00F4169C">
        <w:rPr>
          <w:rFonts w:ascii="Arial" w:hAnsi="Arial" w:cs="Arial"/>
          <w:sz w:val="24"/>
          <w:szCs w:val="24"/>
        </w:rPr>
        <w:t xml:space="preserve"> (With him Ms. Van der Byl)</w:t>
      </w:r>
    </w:p>
    <w:p w:rsidR="00E13BAE" w:rsidRDefault="00E13BAE" w:rsidP="00E13BAE">
      <w:pPr>
        <w:spacing w:line="360" w:lineRule="auto"/>
        <w:rPr>
          <w:rFonts w:ascii="Arial" w:hAnsi="Arial" w:cs="Arial"/>
          <w:sz w:val="24"/>
          <w:szCs w:val="24"/>
        </w:rPr>
      </w:pPr>
      <w:r>
        <w:rPr>
          <w:rFonts w:ascii="Arial" w:hAnsi="Arial" w:cs="Arial"/>
          <w:sz w:val="24"/>
          <w:szCs w:val="24"/>
        </w:rPr>
        <w:lastRenderedPageBreak/>
        <w:t>Instructed by:</w:t>
      </w:r>
      <w:r>
        <w:rPr>
          <w:rFonts w:ascii="Arial" w:hAnsi="Arial" w:cs="Arial"/>
          <w:sz w:val="24"/>
          <w:szCs w:val="24"/>
        </w:rPr>
        <w:tab/>
      </w:r>
      <w:r>
        <w:rPr>
          <w:rFonts w:ascii="Arial" w:hAnsi="Arial" w:cs="Arial"/>
          <w:sz w:val="24"/>
          <w:szCs w:val="24"/>
        </w:rPr>
        <w:tab/>
        <w:t>Office of the Government Attorney</w:t>
      </w:r>
    </w:p>
    <w:p w:rsidR="00587DDC" w:rsidRDefault="00587DDC" w:rsidP="00E13BAE">
      <w:pPr>
        <w:spacing w:line="360" w:lineRule="auto"/>
        <w:rPr>
          <w:rFonts w:ascii="Arial" w:hAnsi="Arial" w:cs="Arial"/>
          <w:sz w:val="24"/>
          <w:szCs w:val="24"/>
        </w:rPr>
      </w:pPr>
    </w:p>
    <w:p w:rsidR="00E13BAE" w:rsidRDefault="00587DDC" w:rsidP="00E13BAE">
      <w:pPr>
        <w:spacing w:line="360" w:lineRule="auto"/>
        <w:rPr>
          <w:rFonts w:ascii="Arial" w:hAnsi="Arial" w:cs="Arial"/>
          <w:sz w:val="24"/>
          <w:szCs w:val="24"/>
        </w:rPr>
      </w:pPr>
      <w:r>
        <w:rPr>
          <w:rFonts w:ascii="Arial" w:hAnsi="Arial" w:cs="Arial"/>
          <w:sz w:val="24"/>
          <w:szCs w:val="24"/>
        </w:rPr>
        <w:t>2</w:t>
      </w:r>
      <w:r w:rsidRPr="00587DDC">
        <w:rPr>
          <w:rFonts w:ascii="Arial" w:hAnsi="Arial" w:cs="Arial"/>
          <w:sz w:val="24"/>
          <w:szCs w:val="24"/>
          <w:vertAlign w:val="superscript"/>
        </w:rPr>
        <w:t>ND</w:t>
      </w:r>
      <w:r>
        <w:rPr>
          <w:rFonts w:ascii="Arial" w:hAnsi="Arial" w:cs="Arial"/>
          <w:sz w:val="24"/>
          <w:szCs w:val="24"/>
        </w:rPr>
        <w:t xml:space="preserve"> RESPONDENT</w:t>
      </w:r>
      <w:r w:rsidR="00E13BAE">
        <w:rPr>
          <w:rFonts w:ascii="Arial" w:hAnsi="Arial" w:cs="Arial"/>
          <w:sz w:val="24"/>
          <w:szCs w:val="24"/>
        </w:rPr>
        <w:t>:</w:t>
      </w:r>
      <w:r w:rsidR="00E13BAE">
        <w:rPr>
          <w:rFonts w:ascii="Arial" w:hAnsi="Arial" w:cs="Arial"/>
          <w:sz w:val="24"/>
          <w:szCs w:val="24"/>
        </w:rPr>
        <w:tab/>
        <w:t>Mr. Kauta (with him Ms. Kuzeeko)</w:t>
      </w:r>
    </w:p>
    <w:p w:rsidR="00E13BAE" w:rsidRDefault="00E13BAE" w:rsidP="00E13BAE">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Of Dr Weder, Kauta &amp; Hoveka, Windhoek.</w:t>
      </w:r>
    </w:p>
    <w:p w:rsidR="00E13BAE" w:rsidRDefault="00E13BAE" w:rsidP="00FB6332">
      <w:pPr>
        <w:spacing w:line="360" w:lineRule="auto"/>
        <w:jc w:val="both"/>
        <w:rPr>
          <w:rFonts w:ascii="Arial" w:hAnsi="Arial" w:cs="Arial"/>
          <w:sz w:val="24"/>
          <w:szCs w:val="24"/>
        </w:rPr>
      </w:pPr>
    </w:p>
    <w:p w:rsidR="00E13BAE" w:rsidRPr="00515A28" w:rsidRDefault="00E13BAE" w:rsidP="00FB6332">
      <w:pPr>
        <w:spacing w:line="360" w:lineRule="auto"/>
        <w:jc w:val="both"/>
        <w:rPr>
          <w:rFonts w:ascii="Arial" w:hAnsi="Arial" w:cs="Arial"/>
          <w:sz w:val="24"/>
          <w:szCs w:val="24"/>
        </w:rPr>
      </w:pPr>
    </w:p>
    <w:sectPr w:rsidR="00E13BAE" w:rsidRPr="00515A28" w:rsidSect="00DA0C63">
      <w:headerReference w:type="default" r:id="rId12"/>
      <w:pgSz w:w="11907" w:h="16839" w:code="9"/>
      <w:pgMar w:top="810" w:right="1440" w:bottom="630" w:left="1440" w:header="720" w:footer="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9A" w:rsidRDefault="00A1129A" w:rsidP="006757FE">
      <w:pPr>
        <w:spacing w:after="0" w:line="240" w:lineRule="auto"/>
      </w:pPr>
      <w:r>
        <w:separator/>
      </w:r>
    </w:p>
  </w:endnote>
  <w:endnote w:type="continuationSeparator" w:id="0">
    <w:p w:rsidR="00A1129A" w:rsidRDefault="00A1129A" w:rsidP="0067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9A" w:rsidRDefault="00A1129A" w:rsidP="006757FE">
      <w:pPr>
        <w:spacing w:after="0" w:line="240" w:lineRule="auto"/>
      </w:pPr>
      <w:r>
        <w:separator/>
      </w:r>
    </w:p>
  </w:footnote>
  <w:footnote w:type="continuationSeparator" w:id="0">
    <w:p w:rsidR="00A1129A" w:rsidRDefault="00A1129A" w:rsidP="006757FE">
      <w:pPr>
        <w:spacing w:after="0" w:line="240" w:lineRule="auto"/>
      </w:pPr>
      <w:r>
        <w:continuationSeparator/>
      </w:r>
    </w:p>
  </w:footnote>
  <w:footnote w:id="1">
    <w:p w:rsidR="00F44353" w:rsidRDefault="00F44353">
      <w:pPr>
        <w:pStyle w:val="FootnoteText"/>
      </w:pPr>
      <w:r>
        <w:rPr>
          <w:rStyle w:val="FootnoteReference"/>
        </w:rPr>
        <w:footnoteRef/>
      </w:r>
      <w:r>
        <w:t xml:space="preserve"> Act No. 29 of 2004.</w:t>
      </w:r>
    </w:p>
  </w:footnote>
  <w:footnote w:id="2">
    <w:p w:rsidR="00A056E6" w:rsidRDefault="00A056E6">
      <w:pPr>
        <w:pStyle w:val="FootnoteText"/>
      </w:pPr>
      <w:r>
        <w:rPr>
          <w:rStyle w:val="FootnoteReference"/>
        </w:rPr>
        <w:footnoteRef/>
      </w:r>
      <w:r>
        <w:t xml:space="preserve"> </w:t>
      </w:r>
      <w:r>
        <w:tab/>
        <w:t xml:space="preserve">(SA 62/2017) [2019] NASC [12 June 2019]. </w:t>
      </w:r>
    </w:p>
  </w:footnote>
  <w:footnote w:id="3">
    <w:p w:rsidR="000D4F1A" w:rsidRDefault="000D4F1A">
      <w:pPr>
        <w:pStyle w:val="FootnoteText"/>
      </w:pPr>
      <w:r>
        <w:rPr>
          <w:rStyle w:val="FootnoteReference"/>
        </w:rPr>
        <w:footnoteRef/>
      </w:r>
      <w:r>
        <w:t xml:space="preserve"> </w:t>
      </w:r>
      <w:r>
        <w:tab/>
        <w:t xml:space="preserve">SA 62/2017 (delivered 12 June 2019). </w:t>
      </w:r>
    </w:p>
  </w:footnote>
  <w:footnote w:id="4">
    <w:p w:rsidR="00544493" w:rsidRDefault="00544493">
      <w:pPr>
        <w:pStyle w:val="FootnoteText"/>
      </w:pPr>
      <w:r>
        <w:rPr>
          <w:rStyle w:val="FootnoteReference"/>
        </w:rPr>
        <w:footnoteRef/>
      </w:r>
      <w:r>
        <w:t xml:space="preserve"> </w:t>
      </w:r>
      <w:r>
        <w:tab/>
        <w:t>(POCA 2/2013) [2014] NAHCMD 222 (24 July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C63" w:rsidRDefault="00DA0C63">
    <w:pPr>
      <w:pStyle w:val="Header"/>
      <w:jc w:val="right"/>
    </w:pPr>
    <w:r>
      <w:fldChar w:fldCharType="begin"/>
    </w:r>
    <w:r>
      <w:instrText xml:space="preserve"> PAGE   \* MERGEFORMAT </w:instrText>
    </w:r>
    <w:r>
      <w:fldChar w:fldCharType="separate"/>
    </w:r>
    <w:r w:rsidR="008B6CD4">
      <w:rPr>
        <w:noProof/>
      </w:rPr>
      <w:t>20</w:t>
    </w:r>
    <w:r>
      <w:rPr>
        <w:noProof/>
      </w:rPr>
      <w:fldChar w:fldCharType="end"/>
    </w:r>
  </w:p>
  <w:p w:rsidR="00DA0C63" w:rsidRDefault="00DA0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B0116"/>
    <w:multiLevelType w:val="hybridMultilevel"/>
    <w:tmpl w:val="B510B1E0"/>
    <w:lvl w:ilvl="0" w:tplc="85FEF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A0027"/>
    <w:multiLevelType w:val="hybridMultilevel"/>
    <w:tmpl w:val="B510B1E0"/>
    <w:lvl w:ilvl="0" w:tplc="85FEF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F36E6"/>
    <w:multiLevelType w:val="hybridMultilevel"/>
    <w:tmpl w:val="53543C62"/>
    <w:lvl w:ilvl="0" w:tplc="DE062794">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091004"/>
    <w:multiLevelType w:val="multilevel"/>
    <w:tmpl w:val="154EAE34"/>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8776DFD"/>
    <w:multiLevelType w:val="hybridMultilevel"/>
    <w:tmpl w:val="4B324EE4"/>
    <w:lvl w:ilvl="0" w:tplc="8F2AB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53030E"/>
    <w:multiLevelType w:val="hybridMultilevel"/>
    <w:tmpl w:val="B510B1E0"/>
    <w:lvl w:ilvl="0" w:tplc="85FEF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35FCC"/>
    <w:multiLevelType w:val="hybridMultilevel"/>
    <w:tmpl w:val="9A8A3706"/>
    <w:lvl w:ilvl="0" w:tplc="D75EEB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9B"/>
    <w:rsid w:val="000047C4"/>
    <w:rsid w:val="00013D12"/>
    <w:rsid w:val="00053C0F"/>
    <w:rsid w:val="00054B59"/>
    <w:rsid w:val="0009392E"/>
    <w:rsid w:val="000B2277"/>
    <w:rsid w:val="000D2800"/>
    <w:rsid w:val="000D4F1A"/>
    <w:rsid w:val="000D5C9A"/>
    <w:rsid w:val="000F3B9B"/>
    <w:rsid w:val="000F3F79"/>
    <w:rsid w:val="0010348A"/>
    <w:rsid w:val="00123716"/>
    <w:rsid w:val="0014460A"/>
    <w:rsid w:val="0018269E"/>
    <w:rsid w:val="00187D8B"/>
    <w:rsid w:val="001B1D35"/>
    <w:rsid w:val="001C7546"/>
    <w:rsid w:val="00214A04"/>
    <w:rsid w:val="00236F3C"/>
    <w:rsid w:val="0026082D"/>
    <w:rsid w:val="00265408"/>
    <w:rsid w:val="00297FF7"/>
    <w:rsid w:val="002B1F32"/>
    <w:rsid w:val="002B4FBA"/>
    <w:rsid w:val="002B714F"/>
    <w:rsid w:val="002E3393"/>
    <w:rsid w:val="00306827"/>
    <w:rsid w:val="00313C40"/>
    <w:rsid w:val="00320617"/>
    <w:rsid w:val="00382B9A"/>
    <w:rsid w:val="003956C4"/>
    <w:rsid w:val="003D1FEB"/>
    <w:rsid w:val="003D2589"/>
    <w:rsid w:val="00401FF7"/>
    <w:rsid w:val="004236E3"/>
    <w:rsid w:val="00445527"/>
    <w:rsid w:val="004915AD"/>
    <w:rsid w:val="004921D6"/>
    <w:rsid w:val="004B6695"/>
    <w:rsid w:val="004D24AF"/>
    <w:rsid w:val="004E2FEA"/>
    <w:rsid w:val="004E3F27"/>
    <w:rsid w:val="00515A28"/>
    <w:rsid w:val="00544493"/>
    <w:rsid w:val="00563734"/>
    <w:rsid w:val="00575A7B"/>
    <w:rsid w:val="00581036"/>
    <w:rsid w:val="005818E1"/>
    <w:rsid w:val="00587DDC"/>
    <w:rsid w:val="0059540C"/>
    <w:rsid w:val="005C53CB"/>
    <w:rsid w:val="005D67DC"/>
    <w:rsid w:val="005F675E"/>
    <w:rsid w:val="006256CF"/>
    <w:rsid w:val="00637EF3"/>
    <w:rsid w:val="00640CE0"/>
    <w:rsid w:val="00643B94"/>
    <w:rsid w:val="00667E20"/>
    <w:rsid w:val="00672407"/>
    <w:rsid w:val="006757FE"/>
    <w:rsid w:val="006A7163"/>
    <w:rsid w:val="006C555C"/>
    <w:rsid w:val="006D7D7B"/>
    <w:rsid w:val="006E04DC"/>
    <w:rsid w:val="006E511B"/>
    <w:rsid w:val="006F3309"/>
    <w:rsid w:val="00703550"/>
    <w:rsid w:val="0071790A"/>
    <w:rsid w:val="007464A1"/>
    <w:rsid w:val="00761373"/>
    <w:rsid w:val="00780554"/>
    <w:rsid w:val="0078341C"/>
    <w:rsid w:val="007A00E8"/>
    <w:rsid w:val="007A0A3F"/>
    <w:rsid w:val="007B0B6B"/>
    <w:rsid w:val="007D5A82"/>
    <w:rsid w:val="007E252E"/>
    <w:rsid w:val="007F7233"/>
    <w:rsid w:val="00806DA5"/>
    <w:rsid w:val="00825D55"/>
    <w:rsid w:val="008342FA"/>
    <w:rsid w:val="008363F4"/>
    <w:rsid w:val="0084189E"/>
    <w:rsid w:val="00850368"/>
    <w:rsid w:val="008563FF"/>
    <w:rsid w:val="008628D4"/>
    <w:rsid w:val="0088070B"/>
    <w:rsid w:val="008841AF"/>
    <w:rsid w:val="0089761C"/>
    <w:rsid w:val="008A476C"/>
    <w:rsid w:val="008B6CD4"/>
    <w:rsid w:val="008C7280"/>
    <w:rsid w:val="009050B6"/>
    <w:rsid w:val="00961539"/>
    <w:rsid w:val="00975D81"/>
    <w:rsid w:val="00983D71"/>
    <w:rsid w:val="009A0B52"/>
    <w:rsid w:val="009D1E28"/>
    <w:rsid w:val="009D208C"/>
    <w:rsid w:val="00A056E6"/>
    <w:rsid w:val="00A1129A"/>
    <w:rsid w:val="00A127D2"/>
    <w:rsid w:val="00A37376"/>
    <w:rsid w:val="00A4731B"/>
    <w:rsid w:val="00A64A57"/>
    <w:rsid w:val="00A81536"/>
    <w:rsid w:val="00AB32E2"/>
    <w:rsid w:val="00AC0507"/>
    <w:rsid w:val="00AC6EB0"/>
    <w:rsid w:val="00AE3176"/>
    <w:rsid w:val="00AE59D5"/>
    <w:rsid w:val="00B03D5C"/>
    <w:rsid w:val="00B33121"/>
    <w:rsid w:val="00B3630E"/>
    <w:rsid w:val="00B664B7"/>
    <w:rsid w:val="00BA0CF1"/>
    <w:rsid w:val="00BB6DAF"/>
    <w:rsid w:val="00BC54F4"/>
    <w:rsid w:val="00BE4FBD"/>
    <w:rsid w:val="00BE548C"/>
    <w:rsid w:val="00BE585B"/>
    <w:rsid w:val="00C56294"/>
    <w:rsid w:val="00C6777D"/>
    <w:rsid w:val="00C73161"/>
    <w:rsid w:val="00C93F1A"/>
    <w:rsid w:val="00CB467E"/>
    <w:rsid w:val="00CD6F8E"/>
    <w:rsid w:val="00CE77B6"/>
    <w:rsid w:val="00CF0FC5"/>
    <w:rsid w:val="00CF239E"/>
    <w:rsid w:val="00D02FEC"/>
    <w:rsid w:val="00D222E5"/>
    <w:rsid w:val="00D27412"/>
    <w:rsid w:val="00D30B6E"/>
    <w:rsid w:val="00D342A5"/>
    <w:rsid w:val="00D5107B"/>
    <w:rsid w:val="00D51842"/>
    <w:rsid w:val="00D56F7C"/>
    <w:rsid w:val="00D66C70"/>
    <w:rsid w:val="00D82365"/>
    <w:rsid w:val="00D900BC"/>
    <w:rsid w:val="00DA085C"/>
    <w:rsid w:val="00DA0C63"/>
    <w:rsid w:val="00E02BBA"/>
    <w:rsid w:val="00E05BD4"/>
    <w:rsid w:val="00E13BAE"/>
    <w:rsid w:val="00E1655B"/>
    <w:rsid w:val="00E27346"/>
    <w:rsid w:val="00E4018C"/>
    <w:rsid w:val="00E53C65"/>
    <w:rsid w:val="00E55FE2"/>
    <w:rsid w:val="00E60015"/>
    <w:rsid w:val="00E8305A"/>
    <w:rsid w:val="00E91140"/>
    <w:rsid w:val="00EC12DE"/>
    <w:rsid w:val="00EC7B47"/>
    <w:rsid w:val="00ED07A3"/>
    <w:rsid w:val="00ED6A0E"/>
    <w:rsid w:val="00EE0768"/>
    <w:rsid w:val="00EF5B25"/>
    <w:rsid w:val="00F0173B"/>
    <w:rsid w:val="00F10A52"/>
    <w:rsid w:val="00F323CD"/>
    <w:rsid w:val="00F4169C"/>
    <w:rsid w:val="00F42C33"/>
    <w:rsid w:val="00F44353"/>
    <w:rsid w:val="00F614C8"/>
    <w:rsid w:val="00F73EEC"/>
    <w:rsid w:val="00FB58DD"/>
    <w:rsid w:val="00FB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792B0-298E-4DFD-A361-86AD2A79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B9B"/>
    <w:rPr>
      <w:rFonts w:ascii="Calibri" w:eastAsia="Calibri" w:hAnsi="Calibri" w:cs="Times New Roman"/>
    </w:rPr>
  </w:style>
  <w:style w:type="paragraph" w:styleId="Heading4">
    <w:name w:val="heading 4"/>
    <w:basedOn w:val="Normal"/>
    <w:next w:val="Normal"/>
    <w:link w:val="Heading4Char"/>
    <w:qFormat/>
    <w:rsid w:val="000F3B9B"/>
    <w:pPr>
      <w:keepNext/>
      <w:spacing w:after="0" w:line="240" w:lineRule="auto"/>
      <w:outlineLvl w:val="3"/>
    </w:pPr>
    <w:rPr>
      <w:rFonts w:ascii="Arial" w:eastAsia="Times New Roman" w:hAnsi="Arial"/>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F3B9B"/>
    <w:rPr>
      <w:rFonts w:ascii="Arial" w:eastAsia="Times New Roman" w:hAnsi="Arial" w:cs="Times New Roman"/>
      <w:sz w:val="28"/>
      <w:szCs w:val="24"/>
      <w:lang w:val="en-GB"/>
    </w:rPr>
  </w:style>
  <w:style w:type="paragraph" w:styleId="BodyText">
    <w:name w:val="Body Text"/>
    <w:basedOn w:val="Normal"/>
    <w:link w:val="BodyTextChar"/>
    <w:rsid w:val="000F3B9B"/>
    <w:pPr>
      <w:spacing w:after="0" w:line="240" w:lineRule="auto"/>
      <w:jc w:val="center"/>
    </w:pPr>
    <w:rPr>
      <w:rFonts w:ascii="Times New Roman" w:eastAsia="Times New Roman" w:hAnsi="Times New Roman"/>
      <w:sz w:val="24"/>
      <w:szCs w:val="24"/>
      <w:lang w:val="en-GB"/>
    </w:rPr>
  </w:style>
  <w:style w:type="character" w:customStyle="1" w:styleId="BodyTextChar">
    <w:name w:val="Body Text Char"/>
    <w:basedOn w:val="DefaultParagraphFont"/>
    <w:link w:val="BodyText"/>
    <w:rsid w:val="000F3B9B"/>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0F3B9B"/>
    <w:pPr>
      <w:spacing w:after="0" w:line="240" w:lineRule="auto"/>
      <w:ind w:left="144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0F3B9B"/>
    <w:rPr>
      <w:rFonts w:ascii="Times New Roman" w:eastAsia="Times New Roman" w:hAnsi="Times New Roman" w:cs="Times New Roman"/>
      <w:sz w:val="24"/>
      <w:szCs w:val="24"/>
      <w:lang w:val="en-GB"/>
    </w:rPr>
  </w:style>
  <w:style w:type="paragraph" w:styleId="Header">
    <w:name w:val="header"/>
    <w:basedOn w:val="Normal"/>
    <w:link w:val="HeaderChar"/>
    <w:unhideWhenUsed/>
    <w:rsid w:val="000F3B9B"/>
    <w:pPr>
      <w:tabs>
        <w:tab w:val="center" w:pos="4680"/>
        <w:tab w:val="right" w:pos="9360"/>
      </w:tabs>
      <w:spacing w:after="0" w:line="240" w:lineRule="auto"/>
    </w:pPr>
  </w:style>
  <w:style w:type="character" w:customStyle="1" w:styleId="HeaderChar">
    <w:name w:val="Header Char"/>
    <w:basedOn w:val="DefaultParagraphFont"/>
    <w:link w:val="Header"/>
    <w:rsid w:val="000F3B9B"/>
    <w:rPr>
      <w:rFonts w:ascii="Calibri" w:eastAsia="Calibri" w:hAnsi="Calibri" w:cs="Times New Roman"/>
    </w:rPr>
  </w:style>
  <w:style w:type="paragraph" w:styleId="BalloonText">
    <w:name w:val="Balloon Text"/>
    <w:basedOn w:val="Normal"/>
    <w:link w:val="BalloonTextChar"/>
    <w:uiPriority w:val="99"/>
    <w:semiHidden/>
    <w:unhideWhenUsed/>
    <w:rsid w:val="000F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B9B"/>
    <w:rPr>
      <w:rFonts w:ascii="Tahoma" w:eastAsia="Calibri" w:hAnsi="Tahoma" w:cs="Tahoma"/>
      <w:sz w:val="16"/>
      <w:szCs w:val="16"/>
    </w:rPr>
  </w:style>
  <w:style w:type="paragraph" w:styleId="FootnoteText">
    <w:name w:val="footnote text"/>
    <w:basedOn w:val="Normal"/>
    <w:link w:val="FootnoteTextChar"/>
    <w:uiPriority w:val="99"/>
    <w:semiHidden/>
    <w:unhideWhenUsed/>
    <w:rsid w:val="00675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7F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757FE"/>
    <w:rPr>
      <w:vertAlign w:val="superscript"/>
    </w:rPr>
  </w:style>
  <w:style w:type="paragraph" w:styleId="ListParagraph">
    <w:name w:val="List Paragraph"/>
    <w:basedOn w:val="Normal"/>
    <w:uiPriority w:val="34"/>
    <w:qFormat/>
    <w:rsid w:val="00880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udgment_x0020_Date xmlns="17a0f4bd-1162-49ac-b85f-dfe96a90bc01">2019-07-23T18:30:00+00:00</Judgment_x0020_Date>
    <Year xmlns="c1afb1bd-f2fb-40fd-9abb-aea55b4d7662">2019</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CE0F99B3F8644397ECB0C536651393" ma:contentTypeVersion="11" ma:contentTypeDescription="Create a new document." ma:contentTypeScope="" ma:versionID="b673f0f333acfa81009044480645c58a">
  <xsd:schema xmlns:xsd="http://www.w3.org/2001/XMLSchema" xmlns:xs="http://www.w3.org/2001/XMLSchema" xmlns:p="http://schemas.microsoft.com/office/2006/metadata/properties" xmlns:ns2="17a0f4bd-1162-49ac-b85f-dfe96a90bc01" xmlns:ns3="c1afb1bd-f2fb-40fd-9abb-aea55b4d7662" targetNamespace="http://schemas.microsoft.com/office/2006/metadata/properties" ma:root="true" ma:fieldsID="293dc9c623f9aa83555c564965efc2da" ns2:_="" ns3:_="">
    <xsd:import namespace="17a0f4bd-1162-49ac-b85f-dfe96a90bc01"/>
    <xsd:import namespace="c1afb1bd-f2fb-40fd-9abb-aea55b4d7662"/>
    <xsd:element name="properties">
      <xsd:complexType>
        <xsd:sequence>
          <xsd:element name="documentManagement">
            <xsd:complexType>
              <xsd:all>
                <xsd:element ref="ns2:Judgment_x0020_Date"/>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f4bd-1162-49ac-b85f-dfe96a90bc01" elementFormDefault="qualified">
    <xsd:import namespace="http://schemas.microsoft.com/office/2006/documentManagement/types"/>
    <xsd:import namespace="http://schemas.microsoft.com/office/infopath/2007/PartnerControls"/>
    <xsd:element name="Judgment_x0020_Date" ma:index="8" ma:displayName="Judgment Date" ma:format="DateOnly" ma:internalName="Judg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afb1bd-f2fb-40fd-9abb-aea55b4d7662" elementFormDefault="qualified">
    <xsd:import namespace="http://schemas.microsoft.com/office/2006/documentManagement/types"/>
    <xsd:import namespace="http://schemas.microsoft.com/office/infopath/2007/PartnerControls"/>
    <xsd:element name="Year" ma:index="13"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DFD1-C2FC-4181-993E-90CB3685602A}">
  <ds:schemaRefs>
    <ds:schemaRef ds:uri="http://schemas.microsoft.com/office/2006/metadata/properties"/>
    <ds:schemaRef ds:uri="http://schemas.microsoft.com/office/infopath/2007/PartnerControls"/>
    <ds:schemaRef ds:uri="17a0f4bd-1162-49ac-b85f-dfe96a90bc01"/>
    <ds:schemaRef ds:uri="c1afb1bd-f2fb-40fd-9abb-aea55b4d7662"/>
  </ds:schemaRefs>
</ds:datastoreItem>
</file>

<file path=customXml/itemProps2.xml><?xml version="1.0" encoding="utf-8"?>
<ds:datastoreItem xmlns:ds="http://schemas.openxmlformats.org/officeDocument/2006/customXml" ds:itemID="{40F2A75A-66EA-434E-BD11-5BCF57577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f4bd-1162-49ac-b85f-dfe96a90bc01"/>
    <ds:schemaRef ds:uri="c1afb1bd-f2fb-40fd-9abb-aea55b4d7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F9568-5977-4ABC-8C42-A25CD4059D86}">
  <ds:schemaRefs>
    <ds:schemaRef ds:uri="http://schemas.microsoft.com/sharepoint/v3/contenttype/forms"/>
  </ds:schemaRefs>
</ds:datastoreItem>
</file>

<file path=customXml/itemProps4.xml><?xml version="1.0" encoding="utf-8"?>
<ds:datastoreItem xmlns:ds="http://schemas.openxmlformats.org/officeDocument/2006/customXml" ds:itemID="{EC3B7A62-D35A-4A53-8C10-7F4410D5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5329</Words>
  <Characters>30377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Isaskar Angula</cp:lastModifiedBy>
  <cp:revision>2</cp:revision>
  <cp:lastPrinted>2019-07-25T14:32:00Z</cp:lastPrinted>
  <dcterms:created xsi:type="dcterms:W3CDTF">2020-03-04T14:22:00Z</dcterms:created>
  <dcterms:modified xsi:type="dcterms:W3CDTF">2020-03-04T14:22:00Z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0x0101000ECE0F99B3F8644397ECB0C536651393</vt:lpwstr>
  </property>
</Properties>
</file>